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黑体" w:eastAsia="黑体"/>
          <w:sz w:val="28"/>
          <w:szCs w:val="28"/>
          <w:highlight w:val="none"/>
        </w:rPr>
      </w:pPr>
      <w:r>
        <w:rPr>
          <w:rFonts w:hint="eastAsia" w:ascii="黑体" w:eastAsia="黑体"/>
          <w:sz w:val="28"/>
          <w:szCs w:val="28"/>
          <w:highlight w:val="none"/>
        </w:rPr>
        <w:t xml:space="preserve">                </w:t>
      </w:r>
    </w:p>
    <w:p>
      <w:pPr>
        <w:rPr>
          <w:rFonts w:ascii="黑体" w:eastAsia="黑体"/>
          <w:highlight w:val="none"/>
        </w:rPr>
      </w:pPr>
    </w:p>
    <w:p>
      <w:pPr>
        <w:rPr>
          <w:rFonts w:ascii="黑体" w:eastAsia="黑体"/>
          <w:highlight w:val="none"/>
        </w:rPr>
      </w:pPr>
    </w:p>
    <w:p>
      <w:pPr>
        <w:rPr>
          <w:rFonts w:ascii="黑体" w:eastAsia="黑体"/>
          <w:highlight w:val="none"/>
        </w:rPr>
      </w:pPr>
    </w:p>
    <w:p>
      <w:pPr>
        <w:rPr>
          <w:rFonts w:ascii="黑体" w:eastAsia="黑体"/>
          <w:highlight w:val="none"/>
        </w:rPr>
      </w:pPr>
    </w:p>
    <w:p>
      <w:pPr>
        <w:jc w:val="center"/>
        <w:rPr>
          <w:rFonts w:ascii="黑体" w:eastAsia="黑体"/>
          <w:sz w:val="40"/>
          <w:szCs w:val="40"/>
          <w:highlight w:val="none"/>
        </w:rPr>
      </w:pPr>
      <w:bookmarkStart w:id="0" w:name="_Toc4427"/>
      <w:r>
        <w:rPr>
          <w:rFonts w:hint="eastAsia" w:ascii="黑体" w:eastAsia="黑体"/>
          <w:sz w:val="40"/>
          <w:szCs w:val="40"/>
          <w:highlight w:val="none"/>
          <w:lang w:eastAsia="zh-CN"/>
        </w:rPr>
        <w:t>北斗</w:t>
      </w:r>
      <w:r>
        <w:rPr>
          <w:rFonts w:hint="eastAsia" w:ascii="黑体" w:eastAsia="黑体"/>
          <w:sz w:val="40"/>
          <w:szCs w:val="40"/>
          <w:highlight w:val="none"/>
          <w:lang w:val="en-US" w:eastAsia="zh-CN"/>
        </w:rPr>
        <w:t>/</w:t>
      </w:r>
      <w:r>
        <w:rPr>
          <w:rFonts w:hint="eastAsia" w:ascii="黑体" w:eastAsia="黑体"/>
          <w:sz w:val="40"/>
          <w:szCs w:val="40"/>
          <w:highlight w:val="none"/>
        </w:rPr>
        <w:t>全球卫星导航系统（GNSS）信号模拟器</w:t>
      </w:r>
      <w:bookmarkEnd w:id="0"/>
    </w:p>
    <w:p>
      <w:pPr>
        <w:jc w:val="center"/>
        <w:rPr>
          <w:rFonts w:ascii="黑体" w:eastAsia="黑体"/>
          <w:sz w:val="40"/>
          <w:szCs w:val="40"/>
          <w:highlight w:val="none"/>
        </w:rPr>
      </w:pPr>
      <w:bookmarkStart w:id="1" w:name="_Toc3471"/>
      <w:r>
        <w:rPr>
          <w:rFonts w:hint="eastAsia" w:ascii="黑体" w:eastAsia="黑体"/>
          <w:sz w:val="40"/>
          <w:szCs w:val="40"/>
          <w:highlight w:val="none"/>
        </w:rPr>
        <w:t>性能要求与测试方法</w:t>
      </w:r>
      <w:bookmarkEnd w:id="1"/>
    </w:p>
    <w:p>
      <w:pPr>
        <w:rPr>
          <w:rFonts w:ascii="黑体" w:eastAsia="黑体"/>
          <w:sz w:val="32"/>
          <w:szCs w:val="32"/>
          <w:highlight w:val="none"/>
        </w:rPr>
      </w:pPr>
    </w:p>
    <w:p>
      <w:pPr>
        <w:jc w:val="center"/>
        <w:rPr>
          <w:rFonts w:ascii="黑体" w:eastAsia="黑体"/>
          <w:sz w:val="40"/>
          <w:szCs w:val="40"/>
          <w:highlight w:val="none"/>
        </w:rPr>
      </w:pPr>
      <w:bookmarkStart w:id="2" w:name="_Toc12587"/>
      <w:r>
        <w:rPr>
          <w:rFonts w:hint="eastAsia" w:ascii="黑体" w:eastAsia="黑体"/>
          <w:sz w:val="40"/>
          <w:szCs w:val="40"/>
          <w:highlight w:val="none"/>
        </w:rPr>
        <w:t>编制说明</w:t>
      </w:r>
      <w:bookmarkEnd w:id="2"/>
    </w:p>
    <w:p>
      <w:pPr>
        <w:jc w:val="center"/>
        <w:rPr>
          <w:rFonts w:ascii="黑体" w:eastAsia="黑体"/>
          <w:sz w:val="44"/>
          <w:szCs w:val="44"/>
          <w:highlight w:val="none"/>
        </w:rPr>
      </w:pPr>
    </w:p>
    <w:p>
      <w:pPr>
        <w:jc w:val="center"/>
        <w:rPr>
          <w:rFonts w:ascii="黑体" w:eastAsia="黑体"/>
          <w:sz w:val="28"/>
          <w:szCs w:val="28"/>
          <w:highlight w:val="none"/>
        </w:rPr>
      </w:pPr>
      <w:bookmarkStart w:id="3" w:name="_Toc21267"/>
      <w:r>
        <w:rPr>
          <w:rFonts w:hint="eastAsia" w:ascii="黑体" w:eastAsia="黑体"/>
          <w:sz w:val="28"/>
          <w:szCs w:val="28"/>
          <w:highlight w:val="none"/>
        </w:rPr>
        <w:t>（</w:t>
      </w:r>
      <w:r>
        <w:rPr>
          <w:rFonts w:hint="eastAsia" w:ascii="黑体" w:eastAsia="黑体"/>
          <w:sz w:val="28"/>
          <w:szCs w:val="28"/>
          <w:highlight w:val="none"/>
          <w:lang w:eastAsia="zh-CN"/>
        </w:rPr>
        <w:t>征求意见</w:t>
      </w:r>
      <w:r>
        <w:rPr>
          <w:rFonts w:hint="eastAsia" w:ascii="黑体" w:eastAsia="黑体"/>
          <w:sz w:val="28"/>
          <w:szCs w:val="28"/>
          <w:highlight w:val="none"/>
        </w:rPr>
        <w:t>稿）</w:t>
      </w:r>
      <w:bookmarkEnd w:id="3"/>
    </w:p>
    <w:p>
      <w:pPr>
        <w:jc w:val="center"/>
        <w:rPr>
          <w:rFonts w:ascii="黑体" w:eastAsia="黑体"/>
          <w:sz w:val="28"/>
          <w:szCs w:val="28"/>
          <w:highlight w:val="none"/>
        </w:rPr>
      </w:pPr>
    </w:p>
    <w:p>
      <w:pPr>
        <w:jc w:val="center"/>
        <w:rPr>
          <w:rFonts w:ascii="黑体" w:eastAsia="黑体"/>
          <w:sz w:val="28"/>
          <w:szCs w:val="28"/>
          <w:highlight w:val="none"/>
        </w:rPr>
      </w:pPr>
    </w:p>
    <w:p>
      <w:pPr>
        <w:jc w:val="center"/>
        <w:rPr>
          <w:rFonts w:ascii="黑体" w:eastAsia="黑体"/>
          <w:sz w:val="28"/>
          <w:szCs w:val="28"/>
          <w:highlight w:val="none"/>
        </w:rPr>
      </w:pPr>
    </w:p>
    <w:p>
      <w:pPr>
        <w:jc w:val="center"/>
        <w:rPr>
          <w:rFonts w:ascii="黑体" w:eastAsia="黑体"/>
          <w:sz w:val="28"/>
          <w:szCs w:val="28"/>
          <w:highlight w:val="none"/>
        </w:rPr>
      </w:pPr>
    </w:p>
    <w:p>
      <w:pPr>
        <w:jc w:val="center"/>
        <w:rPr>
          <w:rFonts w:ascii="黑体" w:eastAsia="黑体"/>
          <w:sz w:val="28"/>
          <w:szCs w:val="28"/>
          <w:highlight w:val="none"/>
        </w:rPr>
      </w:pPr>
    </w:p>
    <w:p>
      <w:pPr>
        <w:rPr>
          <w:rFonts w:ascii="黑体" w:eastAsia="黑体"/>
          <w:sz w:val="28"/>
          <w:szCs w:val="28"/>
          <w:highlight w:val="none"/>
        </w:rPr>
      </w:pPr>
    </w:p>
    <w:p>
      <w:pPr>
        <w:jc w:val="center"/>
        <w:rPr>
          <w:rFonts w:ascii="黑体" w:eastAsia="黑体"/>
          <w:sz w:val="28"/>
          <w:szCs w:val="28"/>
          <w:highlight w:val="none"/>
        </w:rPr>
      </w:pPr>
    </w:p>
    <w:p>
      <w:pPr>
        <w:jc w:val="center"/>
        <w:rPr>
          <w:rFonts w:hint="eastAsia" w:ascii="黑体" w:eastAsia="黑体"/>
          <w:sz w:val="32"/>
          <w:szCs w:val="32"/>
          <w:highlight w:val="none"/>
        </w:rPr>
      </w:pPr>
      <w:bookmarkStart w:id="4" w:name="_Toc7444"/>
      <w:r>
        <w:rPr>
          <w:rFonts w:hint="eastAsia" w:ascii="黑体" w:eastAsia="黑体"/>
          <w:sz w:val="32"/>
          <w:szCs w:val="32"/>
          <w:highlight w:val="none"/>
        </w:rPr>
        <w:t>国防科技大学</w:t>
      </w:r>
      <w:r>
        <w:rPr>
          <w:rFonts w:hint="eastAsia" w:ascii="黑体" w:eastAsia="黑体"/>
          <w:sz w:val="32"/>
          <w:szCs w:val="32"/>
          <w:highlight w:val="none"/>
          <w:lang w:eastAsia="zh-CN"/>
        </w:rPr>
        <w:t>智能科学</w:t>
      </w:r>
      <w:r>
        <w:rPr>
          <w:rFonts w:hint="eastAsia" w:ascii="黑体" w:eastAsia="黑体"/>
          <w:sz w:val="32"/>
          <w:szCs w:val="32"/>
          <w:highlight w:val="none"/>
        </w:rPr>
        <w:t>学院</w:t>
      </w:r>
      <w:bookmarkEnd w:id="4"/>
    </w:p>
    <w:p>
      <w:pPr>
        <w:jc w:val="center"/>
        <w:rPr>
          <w:rFonts w:ascii="黑体" w:eastAsia="黑体"/>
          <w:sz w:val="28"/>
          <w:szCs w:val="28"/>
          <w:highlight w:val="none"/>
        </w:rPr>
        <w:sectPr>
          <w:footerReference r:id="rId3" w:type="default"/>
          <w:footerReference r:id="rId4" w:type="even"/>
          <w:pgSz w:w="11906" w:h="16838"/>
          <w:pgMar w:top="851" w:right="1800" w:bottom="1440" w:left="1800" w:header="851" w:footer="992" w:gutter="0"/>
          <w:cols w:space="720" w:num="1"/>
          <w:docGrid w:type="lines" w:linePitch="312" w:charSpace="0"/>
        </w:sectPr>
      </w:pPr>
      <w:bookmarkStart w:id="5" w:name="_Toc28179"/>
      <w:r>
        <w:rPr>
          <w:rFonts w:hint="eastAsia" w:ascii="黑体" w:eastAsia="黑体"/>
          <w:sz w:val="28"/>
          <w:szCs w:val="28"/>
          <w:highlight w:val="none"/>
        </w:rPr>
        <w:t>201</w:t>
      </w:r>
      <w:r>
        <w:rPr>
          <w:rFonts w:hint="eastAsia" w:ascii="黑体" w:eastAsia="黑体"/>
          <w:sz w:val="28"/>
          <w:szCs w:val="28"/>
          <w:highlight w:val="none"/>
          <w:lang w:val="en-US" w:eastAsia="zh-CN"/>
        </w:rPr>
        <w:t>8</w:t>
      </w:r>
      <w:r>
        <w:rPr>
          <w:rFonts w:hint="eastAsia" w:ascii="黑体" w:eastAsia="黑体"/>
          <w:sz w:val="28"/>
          <w:szCs w:val="28"/>
          <w:highlight w:val="none"/>
        </w:rPr>
        <w:t>年</w:t>
      </w:r>
      <w:r>
        <w:rPr>
          <w:rFonts w:hint="eastAsia" w:ascii="黑体" w:eastAsia="黑体"/>
          <w:sz w:val="28"/>
          <w:szCs w:val="28"/>
          <w:highlight w:val="none"/>
          <w:lang w:val="en-US" w:eastAsia="zh-CN"/>
        </w:rPr>
        <w:t>3</w:t>
      </w:r>
      <w:bookmarkEnd w:id="5"/>
    </w:p>
    <w:p>
      <w:pPr>
        <w:pStyle w:val="2"/>
        <w:rPr>
          <w:rFonts w:hint="eastAsia"/>
          <w:highlight w:val="none"/>
          <w:lang w:val="en-US" w:eastAsia="zh-CN"/>
        </w:rPr>
      </w:pPr>
      <w:bookmarkStart w:id="6" w:name="_Toc29567"/>
      <w:bookmarkStart w:id="7" w:name="_Toc12047"/>
      <w:r>
        <w:rPr>
          <w:rFonts w:hint="eastAsia"/>
          <w:sz w:val="24"/>
          <w:szCs w:val="24"/>
          <w:highlight w:val="none"/>
          <w:lang w:val="en-US" w:eastAsia="zh-CN"/>
        </w:rPr>
        <w:t>工作简况</w:t>
      </w:r>
      <w:bookmarkEnd w:id="6"/>
      <w:bookmarkEnd w:id="7"/>
    </w:p>
    <w:p>
      <w:pPr>
        <w:pStyle w:val="3"/>
        <w:rPr>
          <w:rFonts w:hint="eastAsia"/>
          <w:sz w:val="24"/>
          <w:szCs w:val="21"/>
          <w:highlight w:val="none"/>
          <w:lang w:val="en-US" w:eastAsia="zh-CN"/>
        </w:rPr>
      </w:pPr>
      <w:bookmarkStart w:id="8" w:name="_Toc10675"/>
      <w:bookmarkStart w:id="9" w:name="_Toc8494"/>
      <w:r>
        <w:rPr>
          <w:rFonts w:hint="eastAsia"/>
          <w:sz w:val="24"/>
          <w:szCs w:val="21"/>
          <w:highlight w:val="none"/>
          <w:lang w:val="en-US" w:eastAsia="zh-CN"/>
        </w:rPr>
        <w:t>1.1任务来源</w:t>
      </w:r>
      <w:bookmarkEnd w:id="8"/>
      <w:bookmarkEnd w:id="9"/>
    </w:p>
    <w:p>
      <w:pPr>
        <w:pStyle w:val="8"/>
        <w:keepNext w:val="0"/>
        <w:keepLines w:val="0"/>
        <w:pageBreakBefore w:val="0"/>
        <w:widowControl w:val="0"/>
        <w:kinsoku/>
        <w:wordWrap/>
        <w:overflowPunct/>
        <w:topLinePunct w:val="0"/>
        <w:autoSpaceDE/>
        <w:autoSpaceDN/>
        <w:bidi w:val="0"/>
        <w:adjustRightInd/>
        <w:snapToGrid/>
        <w:ind w:firstLine="480" w:firstLineChars="200"/>
        <w:jc w:val="both"/>
        <w:textAlignment w:val="auto"/>
        <w:outlineLvl w:val="9"/>
        <w:rPr>
          <w:rFonts w:hint="eastAsia"/>
          <w:color w:val="auto"/>
          <w:szCs w:val="22"/>
          <w:highlight w:val="none"/>
          <w:lang w:eastAsia="zh-CN"/>
        </w:rPr>
      </w:pPr>
      <w:bookmarkStart w:id="10" w:name="_Toc363807021"/>
      <w:bookmarkStart w:id="11" w:name="_Toc366160638"/>
      <w:bookmarkStart w:id="12" w:name="_Toc363139952"/>
      <w:r>
        <w:rPr>
          <w:rFonts w:hint="eastAsia"/>
          <w:color w:val="auto"/>
          <w:highlight w:val="none"/>
        </w:rPr>
        <w:t>根据国标委综合〔2017〕138号</w:t>
      </w:r>
      <w:r>
        <w:rPr>
          <w:rFonts w:hint="eastAsia"/>
          <w:color w:val="auto"/>
          <w:highlight w:val="none"/>
          <w:lang w:eastAsia="zh-CN"/>
        </w:rPr>
        <w:t>令关于下达27项军用国家推荐性标准制修订计划通知</w:t>
      </w:r>
      <w:r>
        <w:rPr>
          <w:rFonts w:hint="eastAsia"/>
          <w:color w:val="auto"/>
          <w:highlight w:val="none"/>
        </w:rPr>
        <w:t>，</w:t>
      </w:r>
      <w:r>
        <w:rPr>
          <w:rFonts w:hint="eastAsia"/>
          <w:color w:val="auto"/>
          <w:szCs w:val="22"/>
          <w:highlight w:val="none"/>
        </w:rPr>
        <w:t>由中国卫星导航系统管理办公室</w:t>
      </w:r>
      <w:r>
        <w:rPr>
          <w:rFonts w:hint="eastAsia"/>
          <w:color w:val="auto"/>
          <w:szCs w:val="22"/>
          <w:highlight w:val="none"/>
          <w:lang w:eastAsia="zh-CN"/>
        </w:rPr>
        <w:t>提出，</w:t>
      </w:r>
      <w:r>
        <w:rPr>
          <w:rFonts w:hint="eastAsia"/>
          <w:color w:val="auto"/>
          <w:szCs w:val="22"/>
          <w:highlight w:val="none"/>
        </w:rPr>
        <w:t>全国北斗卫星导航标准化</w:t>
      </w:r>
      <w:r>
        <w:rPr>
          <w:rFonts w:hint="eastAsia"/>
          <w:color w:val="auto"/>
          <w:szCs w:val="22"/>
          <w:highlight w:val="none"/>
          <w:lang w:eastAsia="zh-CN"/>
        </w:rPr>
        <w:t>技术委员会归口，国防科技大学智能科学学院牵头起草，计划编号为</w:t>
      </w:r>
      <w:r>
        <w:rPr>
          <w:rFonts w:hint="eastAsia"/>
          <w:color w:val="auto"/>
          <w:szCs w:val="22"/>
          <w:highlight w:val="none"/>
          <w:lang w:val="en-US" w:eastAsia="zh-CN"/>
        </w:rPr>
        <w:t>20174077-T-801</w:t>
      </w:r>
      <w:r>
        <w:rPr>
          <w:rFonts w:hint="eastAsia"/>
          <w:color w:val="auto"/>
          <w:szCs w:val="22"/>
          <w:highlight w:val="none"/>
          <w:lang w:eastAsia="zh-CN"/>
        </w:rPr>
        <w:t>。</w:t>
      </w:r>
    </w:p>
    <w:p>
      <w:pPr>
        <w:pStyle w:val="8"/>
        <w:ind w:firstLine="480"/>
        <w:rPr>
          <w:rFonts w:hint="eastAsia"/>
          <w:color w:val="auto"/>
          <w:szCs w:val="22"/>
          <w:highlight w:val="none"/>
        </w:rPr>
      </w:pPr>
      <w:r>
        <w:rPr>
          <w:rFonts w:hint="eastAsia"/>
          <w:color w:val="auto"/>
          <w:szCs w:val="22"/>
          <w:highlight w:val="none"/>
        </w:rPr>
        <w:t>本项目完成期限为</w:t>
      </w:r>
      <w:r>
        <w:rPr>
          <w:rFonts w:hint="eastAsia"/>
          <w:color w:val="auto"/>
          <w:szCs w:val="22"/>
          <w:highlight w:val="none"/>
          <w:lang w:val="en-US" w:eastAsia="zh-CN"/>
        </w:rPr>
        <w:t>24个月</w:t>
      </w:r>
      <w:r>
        <w:rPr>
          <w:rFonts w:hint="eastAsia"/>
          <w:color w:val="auto"/>
          <w:szCs w:val="22"/>
          <w:highlight w:val="none"/>
        </w:rPr>
        <w:t>。</w:t>
      </w:r>
    </w:p>
    <w:bookmarkEnd w:id="10"/>
    <w:bookmarkEnd w:id="11"/>
    <w:bookmarkEnd w:id="12"/>
    <w:p>
      <w:pPr>
        <w:pStyle w:val="3"/>
        <w:rPr>
          <w:rFonts w:hint="eastAsia"/>
          <w:sz w:val="24"/>
          <w:szCs w:val="21"/>
          <w:highlight w:val="none"/>
          <w:lang w:val="en-US" w:eastAsia="zh-CN"/>
        </w:rPr>
      </w:pPr>
      <w:bookmarkStart w:id="13" w:name="_Toc26649"/>
      <w:bookmarkStart w:id="14" w:name="_Toc25761"/>
      <w:r>
        <w:rPr>
          <w:rFonts w:hint="eastAsia"/>
          <w:sz w:val="24"/>
          <w:szCs w:val="21"/>
          <w:highlight w:val="none"/>
          <w:lang w:val="en-US" w:eastAsia="zh-CN"/>
        </w:rPr>
        <w:t>1.2主要工作过程</w:t>
      </w:r>
      <w:bookmarkEnd w:id="13"/>
      <w:bookmarkEnd w:id="14"/>
    </w:p>
    <w:p>
      <w:pPr>
        <w:pStyle w:val="4"/>
        <w:rPr>
          <w:sz w:val="24"/>
          <w:szCs w:val="21"/>
          <w:highlight w:val="none"/>
        </w:rPr>
      </w:pPr>
      <w:bookmarkStart w:id="15" w:name="_Toc354686005"/>
      <w:bookmarkStart w:id="16" w:name="_Toc363807022"/>
      <w:bookmarkStart w:id="17" w:name="_Toc366160639"/>
      <w:bookmarkStart w:id="18" w:name="_Toc363139953"/>
      <w:r>
        <w:rPr>
          <w:rFonts w:hint="eastAsia"/>
          <w:sz w:val="24"/>
          <w:szCs w:val="21"/>
          <w:highlight w:val="none"/>
          <w:lang w:val="en-US" w:eastAsia="zh-CN"/>
        </w:rPr>
        <w:t>1.2.1</w:t>
      </w:r>
      <w:r>
        <w:rPr>
          <w:rFonts w:hint="eastAsia"/>
          <w:sz w:val="24"/>
          <w:szCs w:val="21"/>
          <w:highlight w:val="none"/>
        </w:rPr>
        <w:t>成立编标工作组</w:t>
      </w:r>
      <w:bookmarkEnd w:id="15"/>
    </w:p>
    <w:p>
      <w:pPr>
        <w:ind w:firstLine="480" w:firstLineChars="200"/>
        <w:rPr>
          <w:sz w:val="24"/>
          <w:highlight w:val="none"/>
        </w:rPr>
      </w:pPr>
      <w:r>
        <w:rPr>
          <w:rFonts w:hint="eastAsia"/>
          <w:sz w:val="24"/>
          <w:highlight w:val="none"/>
        </w:rPr>
        <w:t>根据全国北斗卫星导航标准化技术委员会和中央军委装备发展部下达的</w:t>
      </w:r>
      <w:r>
        <w:rPr>
          <w:rFonts w:hint="eastAsia"/>
          <w:sz w:val="24"/>
          <w:highlight w:val="none"/>
          <w:lang w:eastAsia="zh-CN"/>
        </w:rPr>
        <w:t>标准制修订</w:t>
      </w:r>
      <w:r>
        <w:rPr>
          <w:rFonts w:hint="eastAsia"/>
          <w:sz w:val="24"/>
          <w:highlight w:val="none"/>
        </w:rPr>
        <w:t>任务要求，我单位牵头成立了标准编制组，成员单位包括北京卫星导航中心、</w:t>
      </w:r>
      <w:r>
        <w:rPr>
          <w:rFonts w:hint="eastAsia"/>
          <w:sz w:val="24"/>
          <w:highlight w:val="none"/>
          <w:lang w:eastAsia="zh-CN"/>
        </w:rPr>
        <w:t>中国电子科技集团公司第五十四研究所、</w:t>
      </w:r>
      <w:r>
        <w:rPr>
          <w:rFonts w:hint="eastAsia"/>
          <w:sz w:val="24"/>
          <w:highlight w:val="none"/>
        </w:rPr>
        <w:t>北京东方计量测试研究所、</w:t>
      </w:r>
      <w:r>
        <w:rPr>
          <w:rFonts w:hint="eastAsia"/>
          <w:sz w:val="24"/>
          <w:highlight w:val="none"/>
          <w:lang w:eastAsia="zh-CN"/>
        </w:rPr>
        <w:t>测控与导航技术国家地方联合工程研究中心</w:t>
      </w:r>
      <w:r>
        <w:rPr>
          <w:rFonts w:hint="eastAsia"/>
          <w:sz w:val="24"/>
          <w:highlight w:val="none"/>
        </w:rPr>
        <w:t>、湖南矩阵电子科技有限公司</w:t>
      </w:r>
      <w:r>
        <w:rPr>
          <w:rFonts w:hint="eastAsia"/>
          <w:sz w:val="24"/>
          <w:highlight w:val="none"/>
          <w:lang w:eastAsia="zh-CN"/>
        </w:rPr>
        <w:t>、长沙北斗产业安全技术研究院、北京华力创通科技股份有限公司</w:t>
      </w:r>
      <w:r>
        <w:rPr>
          <w:rFonts w:hint="eastAsia"/>
          <w:sz w:val="24"/>
          <w:highlight w:val="none"/>
        </w:rPr>
        <w:t>。</w:t>
      </w:r>
      <w:r>
        <w:rPr>
          <w:rFonts w:hint="eastAsia"/>
          <w:sz w:val="24"/>
          <w:highlight w:val="none"/>
          <w:lang w:eastAsia="zh-CN"/>
        </w:rPr>
        <w:t>在原北斗专项标准《BD 420012-2015 北斗</w:t>
      </w:r>
      <w:r>
        <w:rPr>
          <w:rFonts w:hint="eastAsia"/>
          <w:sz w:val="24"/>
          <w:highlight w:val="none"/>
          <w:lang w:val="en-US" w:eastAsia="zh-CN"/>
        </w:rPr>
        <w:t>/</w:t>
      </w:r>
      <w:r>
        <w:rPr>
          <w:rFonts w:hint="eastAsia"/>
          <w:sz w:val="24"/>
          <w:highlight w:val="none"/>
          <w:lang w:eastAsia="zh-CN"/>
        </w:rPr>
        <w:t>全球卫星导航系统（GNSS）信号模拟器性能要求及测试方法》基础上，</w:t>
      </w:r>
      <w:r>
        <w:rPr>
          <w:rFonts w:hint="eastAsia"/>
          <w:sz w:val="24"/>
          <w:highlight w:val="none"/>
        </w:rPr>
        <w:t>标准编制组</w:t>
      </w:r>
      <w:r>
        <w:rPr>
          <w:rFonts w:hint="eastAsia"/>
          <w:sz w:val="24"/>
          <w:highlight w:val="none"/>
          <w:lang w:eastAsia="zh-CN"/>
        </w:rPr>
        <w:t>积极开展标准内容专题讨论以及</w:t>
      </w:r>
      <w:r>
        <w:rPr>
          <w:rFonts w:hint="eastAsia"/>
          <w:sz w:val="24"/>
          <w:highlight w:val="none"/>
        </w:rPr>
        <w:t>研究导航测试相关领域的标准</w:t>
      </w:r>
      <w:r>
        <w:rPr>
          <w:rFonts w:hint="eastAsia"/>
          <w:sz w:val="24"/>
          <w:highlight w:val="none"/>
          <w:lang w:eastAsia="zh-CN"/>
        </w:rPr>
        <w:t>，以</w:t>
      </w:r>
      <w:r>
        <w:rPr>
          <w:rFonts w:hint="eastAsia"/>
          <w:sz w:val="24"/>
          <w:highlight w:val="none"/>
        </w:rPr>
        <w:t>推进国内北斗用户设备测试系统和计量体系建设标准化，实现国内北斗用户设备检测方法、检测标准的规范统一</w:t>
      </w:r>
      <w:r>
        <w:rPr>
          <w:rFonts w:hint="eastAsia"/>
          <w:sz w:val="24"/>
          <w:highlight w:val="none"/>
          <w:lang w:eastAsia="zh-CN"/>
        </w:rPr>
        <w:t>。</w:t>
      </w:r>
    </w:p>
    <w:p>
      <w:pPr>
        <w:pStyle w:val="4"/>
        <w:rPr>
          <w:sz w:val="24"/>
          <w:szCs w:val="24"/>
          <w:highlight w:val="none"/>
        </w:rPr>
      </w:pPr>
      <w:r>
        <w:rPr>
          <w:rFonts w:hint="eastAsia"/>
          <w:sz w:val="24"/>
          <w:szCs w:val="24"/>
          <w:highlight w:val="none"/>
          <w:lang w:val="en-US" w:eastAsia="zh-CN"/>
        </w:rPr>
        <w:t>1.2.2初稿编写</w:t>
      </w:r>
      <w:bookmarkStart w:id="75" w:name="_GoBack"/>
      <w:bookmarkEnd w:id="75"/>
    </w:p>
    <w:p>
      <w:pPr>
        <w:ind w:firstLine="480" w:firstLineChars="200"/>
        <w:rPr>
          <w:rFonts w:hint="eastAsia"/>
          <w:highlight w:val="none"/>
          <w:lang w:val="en-US" w:eastAsia="zh-CN"/>
        </w:rPr>
      </w:pPr>
      <w:r>
        <w:rPr>
          <w:rFonts w:hint="eastAsia"/>
          <w:sz w:val="24"/>
          <w:highlight w:val="none"/>
        </w:rPr>
        <w:t>编标工作组成立以来，围绕任务要求，从标准化编写的内容格式角度，多次组织学习国家标准撰写规范，广泛查阅已有相关标准并认真研究总结，编制组人员</w:t>
      </w:r>
      <w:r>
        <w:rPr>
          <w:rFonts w:hint="eastAsia"/>
          <w:sz w:val="24"/>
          <w:highlight w:val="none"/>
          <w:lang w:eastAsia="zh-CN"/>
        </w:rPr>
        <w:t>积极参加了全国北斗卫星导航标准化技术委员会第三期标准化培训，从中认真学习</w:t>
      </w:r>
      <w:r>
        <w:rPr>
          <w:rFonts w:hint="eastAsia"/>
          <w:sz w:val="24"/>
          <w:highlight w:val="none"/>
          <w:lang w:val="en-US" w:eastAsia="zh-CN"/>
        </w:rPr>
        <w:t>了</w:t>
      </w:r>
      <w:r>
        <w:rPr>
          <w:rFonts w:hint="eastAsia"/>
          <w:sz w:val="24"/>
          <w:highlight w:val="none"/>
          <w:lang w:eastAsia="zh-CN"/>
        </w:rPr>
        <w:t>国家标准工作程序及标准化工作导则：</w:t>
      </w:r>
      <w:r>
        <w:rPr>
          <w:rFonts w:hint="eastAsia"/>
          <w:sz w:val="24"/>
          <w:highlight w:val="none"/>
        </w:rPr>
        <w:t>《标准化工作导则 第</w:t>
      </w:r>
      <w:r>
        <w:rPr>
          <w:rFonts w:hint="eastAsia"/>
          <w:sz w:val="24"/>
          <w:highlight w:val="none"/>
          <w:lang w:val="en-US" w:eastAsia="zh-CN"/>
        </w:rPr>
        <w:t>1</w:t>
      </w:r>
      <w:r>
        <w:rPr>
          <w:rFonts w:hint="eastAsia"/>
          <w:sz w:val="24"/>
          <w:highlight w:val="none"/>
        </w:rPr>
        <w:t>部分：标准的结构和编写》</w:t>
      </w:r>
      <w:r>
        <w:rPr>
          <w:rFonts w:hint="eastAsia"/>
          <w:sz w:val="24"/>
          <w:highlight w:val="none"/>
          <w:lang w:eastAsia="zh-CN"/>
        </w:rPr>
        <w:t>、《</w:t>
      </w:r>
      <w:r>
        <w:rPr>
          <w:rFonts w:hint="eastAsia"/>
          <w:sz w:val="24"/>
          <w:highlight w:val="none"/>
        </w:rPr>
        <w:t>标准化工作导则 第</w:t>
      </w:r>
      <w:r>
        <w:rPr>
          <w:rFonts w:hint="eastAsia"/>
          <w:sz w:val="24"/>
          <w:highlight w:val="none"/>
          <w:lang w:val="en-US" w:eastAsia="zh-CN"/>
        </w:rPr>
        <w:t>10</w:t>
      </w:r>
      <w:r>
        <w:rPr>
          <w:rFonts w:hint="eastAsia"/>
          <w:sz w:val="24"/>
          <w:highlight w:val="none"/>
        </w:rPr>
        <w:t>部分：</w:t>
      </w:r>
      <w:r>
        <w:rPr>
          <w:rFonts w:hint="eastAsia"/>
          <w:sz w:val="24"/>
          <w:highlight w:val="none"/>
          <w:lang w:eastAsia="zh-CN"/>
        </w:rPr>
        <w:t>产品标准》</w:t>
      </w:r>
      <w:r>
        <w:rPr>
          <w:rFonts w:hint="eastAsia"/>
          <w:sz w:val="24"/>
          <w:highlight w:val="none"/>
        </w:rPr>
        <w:t>；为了加快标准编制工作，广泛征求</w:t>
      </w:r>
      <w:r>
        <w:rPr>
          <w:rFonts w:hint="eastAsia"/>
          <w:sz w:val="24"/>
          <w:highlight w:val="none"/>
          <w:lang w:eastAsia="zh-CN"/>
        </w:rPr>
        <w:t>了</w:t>
      </w:r>
      <w:r>
        <w:rPr>
          <w:rFonts w:hint="eastAsia"/>
          <w:sz w:val="24"/>
          <w:highlight w:val="none"/>
        </w:rPr>
        <w:t>相关行业和单位的意见和建议，认真接受和采纳反馈意见</w:t>
      </w:r>
      <w:r>
        <w:rPr>
          <w:rFonts w:hint="eastAsia"/>
          <w:sz w:val="24"/>
          <w:highlight w:val="none"/>
          <w:lang w:eastAsia="zh-CN"/>
        </w:rPr>
        <w:t>，</w:t>
      </w:r>
      <w:r>
        <w:rPr>
          <w:rFonts w:hint="eastAsia"/>
          <w:sz w:val="24"/>
          <w:highlight w:val="none"/>
        </w:rPr>
        <w:t>201</w:t>
      </w:r>
      <w:r>
        <w:rPr>
          <w:rFonts w:hint="eastAsia"/>
          <w:sz w:val="24"/>
          <w:highlight w:val="none"/>
          <w:lang w:val="en-US" w:eastAsia="zh-CN"/>
        </w:rPr>
        <w:t>8</w:t>
      </w:r>
      <w:r>
        <w:rPr>
          <w:rFonts w:hint="eastAsia"/>
          <w:sz w:val="24"/>
          <w:highlight w:val="none"/>
        </w:rPr>
        <w:t>年3月经</w:t>
      </w:r>
      <w:r>
        <w:rPr>
          <w:rFonts w:hint="eastAsia"/>
          <w:sz w:val="24"/>
          <w:highlight w:val="none"/>
          <w:lang w:eastAsia="zh-CN"/>
        </w:rPr>
        <w:t>标准编制</w:t>
      </w:r>
      <w:r>
        <w:rPr>
          <w:rFonts w:hint="eastAsia"/>
          <w:sz w:val="24"/>
          <w:highlight w:val="none"/>
        </w:rPr>
        <w:t>组进行技术审查后，根据相关意见进行了修改，形成了“</w:t>
      </w:r>
      <w:r>
        <w:rPr>
          <w:rFonts w:hint="eastAsia"/>
          <w:sz w:val="24"/>
          <w:highlight w:val="none"/>
          <w:lang w:eastAsia="zh-CN"/>
        </w:rPr>
        <w:t>北斗</w:t>
      </w:r>
      <w:r>
        <w:rPr>
          <w:rFonts w:hint="eastAsia"/>
          <w:sz w:val="24"/>
          <w:highlight w:val="none"/>
          <w:lang w:val="en-US" w:eastAsia="zh-CN"/>
        </w:rPr>
        <w:t>/</w:t>
      </w:r>
      <w:r>
        <w:rPr>
          <w:rFonts w:hint="eastAsia"/>
          <w:sz w:val="24"/>
          <w:highlight w:val="none"/>
          <w:lang w:eastAsia="zh-CN"/>
        </w:rPr>
        <w:t>全球卫星导航系统（GNSS）信号模拟器性能要求及测试方法</w:t>
      </w:r>
      <w:r>
        <w:rPr>
          <w:rFonts w:hint="eastAsia"/>
          <w:sz w:val="24"/>
          <w:highlight w:val="none"/>
        </w:rPr>
        <w:t>”</w:t>
      </w:r>
      <w:r>
        <w:rPr>
          <w:rFonts w:hint="eastAsia"/>
          <w:sz w:val="24"/>
          <w:highlight w:val="none"/>
          <w:lang w:eastAsia="zh-CN"/>
        </w:rPr>
        <w:t>征求意见稿</w:t>
      </w:r>
      <w:r>
        <w:rPr>
          <w:rFonts w:hint="eastAsia"/>
          <w:sz w:val="24"/>
          <w:highlight w:val="none"/>
        </w:rPr>
        <w:t>。</w:t>
      </w:r>
      <w:bookmarkEnd w:id="16"/>
      <w:bookmarkEnd w:id="17"/>
      <w:bookmarkEnd w:id="18"/>
    </w:p>
    <w:p>
      <w:pPr>
        <w:pStyle w:val="2"/>
        <w:rPr>
          <w:rFonts w:hint="eastAsia"/>
          <w:sz w:val="24"/>
          <w:szCs w:val="24"/>
          <w:highlight w:val="none"/>
          <w:lang w:val="en-US" w:eastAsia="zh-CN"/>
        </w:rPr>
      </w:pPr>
      <w:bookmarkStart w:id="19" w:name="_Toc14968"/>
      <w:bookmarkStart w:id="20" w:name="_Toc18538"/>
      <w:r>
        <w:rPr>
          <w:rFonts w:hint="eastAsia"/>
          <w:sz w:val="24"/>
          <w:szCs w:val="24"/>
          <w:highlight w:val="none"/>
          <w:lang w:val="en-US" w:eastAsia="zh-CN"/>
        </w:rPr>
        <w:t>标准主要内容说明</w:t>
      </w:r>
      <w:bookmarkEnd w:id="19"/>
      <w:bookmarkEnd w:id="20"/>
    </w:p>
    <w:p>
      <w:pPr>
        <w:pStyle w:val="3"/>
        <w:rPr>
          <w:sz w:val="24"/>
          <w:szCs w:val="24"/>
          <w:highlight w:val="none"/>
        </w:rPr>
      </w:pPr>
      <w:bookmarkStart w:id="21" w:name="_Toc366161853"/>
      <w:bookmarkStart w:id="22" w:name="_Toc354686011"/>
      <w:bookmarkStart w:id="23" w:name="_Toc23978"/>
      <w:bookmarkStart w:id="24" w:name="_Toc6084"/>
      <w:r>
        <w:rPr>
          <w:rFonts w:hint="eastAsia"/>
          <w:sz w:val="24"/>
          <w:szCs w:val="24"/>
          <w:highlight w:val="none"/>
          <w:lang w:val="en-US" w:eastAsia="zh-CN"/>
        </w:rPr>
        <w:t>2.1</w:t>
      </w:r>
      <w:r>
        <w:rPr>
          <w:rFonts w:hint="eastAsia"/>
          <w:sz w:val="24"/>
          <w:szCs w:val="24"/>
          <w:highlight w:val="none"/>
        </w:rPr>
        <w:t>标准主要内容</w:t>
      </w:r>
      <w:bookmarkEnd w:id="21"/>
      <w:bookmarkEnd w:id="22"/>
      <w:bookmarkEnd w:id="23"/>
      <w:bookmarkEnd w:id="24"/>
    </w:p>
    <w:p>
      <w:pPr>
        <w:pStyle w:val="8"/>
        <w:ind w:firstLine="480"/>
        <w:rPr>
          <w:highlight w:val="none"/>
        </w:rPr>
      </w:pPr>
      <w:r>
        <w:rPr>
          <w:highlight w:val="none"/>
        </w:rPr>
        <w:t>本标准对</w:t>
      </w:r>
      <w:r>
        <w:rPr>
          <w:rFonts w:hint="eastAsia"/>
          <w:highlight w:val="none"/>
        </w:rPr>
        <w:t>北斗/全球卫星导航系统（GNSS）信号模拟器</w:t>
      </w:r>
      <w:r>
        <w:rPr>
          <w:rFonts w:hint="eastAsia"/>
          <w:highlight w:val="none"/>
          <w:lang w:eastAsia="zh-CN"/>
        </w:rPr>
        <w:t>（以下简称“</w:t>
      </w:r>
      <w:r>
        <w:rPr>
          <w:rFonts w:hint="eastAsia"/>
          <w:highlight w:val="none"/>
          <w:lang w:val="en-US" w:eastAsia="zh-CN"/>
        </w:rPr>
        <w:t>GNSS信号模拟器</w:t>
      </w:r>
      <w:r>
        <w:rPr>
          <w:rFonts w:hint="eastAsia"/>
          <w:highlight w:val="none"/>
          <w:lang w:eastAsia="zh-CN"/>
        </w:rPr>
        <w:t>”）</w:t>
      </w:r>
      <w:r>
        <w:rPr>
          <w:rFonts w:hint="eastAsia"/>
          <w:highlight w:val="none"/>
        </w:rPr>
        <w:t>性能要求以及测试方法</w:t>
      </w:r>
      <w:r>
        <w:rPr>
          <w:highlight w:val="none"/>
        </w:rPr>
        <w:t>等方面作了较详细的规定，以确保按有关标准对</w:t>
      </w:r>
      <w:r>
        <w:rPr>
          <w:rFonts w:hint="eastAsia"/>
          <w:highlight w:val="none"/>
        </w:rPr>
        <w:t>设备</w:t>
      </w:r>
      <w:r>
        <w:rPr>
          <w:highlight w:val="none"/>
        </w:rPr>
        <w:t>进行</w:t>
      </w:r>
      <w:r>
        <w:rPr>
          <w:rFonts w:hint="eastAsia"/>
          <w:highlight w:val="none"/>
        </w:rPr>
        <w:t>检测计量</w:t>
      </w:r>
      <w:r>
        <w:rPr>
          <w:highlight w:val="none"/>
        </w:rPr>
        <w:t>和质量等级评定时的一致性。</w:t>
      </w:r>
    </w:p>
    <w:p>
      <w:pPr>
        <w:pStyle w:val="8"/>
        <w:ind w:firstLine="480"/>
        <w:rPr>
          <w:rFonts w:hint="eastAsia"/>
          <w:highlight w:val="none"/>
        </w:rPr>
      </w:pPr>
      <w:r>
        <w:rPr>
          <w:rFonts w:hint="eastAsia"/>
          <w:highlight w:val="none"/>
          <w:lang w:eastAsia="zh-CN"/>
        </w:rPr>
        <w:t>GNSS信号模拟器</w:t>
      </w:r>
      <w:r>
        <w:rPr>
          <w:rFonts w:hint="eastAsia"/>
          <w:highlight w:val="none"/>
        </w:rPr>
        <w:t>是一种高精度综合性的测试和仿真验证设备，能够真实再现全球卫星导航系统中的星座构型、误差模型以及不同体制导航信号下的不同类型用户场景。随着卫星导航应用的日趋广泛，用户终端对</w:t>
      </w:r>
      <w:r>
        <w:rPr>
          <w:rFonts w:hint="eastAsia"/>
          <w:highlight w:val="none"/>
          <w:lang w:eastAsia="zh-CN"/>
        </w:rPr>
        <w:t>GNSS信号模拟器</w:t>
      </w:r>
      <w:r>
        <w:rPr>
          <w:rFonts w:hint="eastAsia"/>
          <w:highlight w:val="none"/>
        </w:rPr>
        <w:t>所仿真导航信号的可用性、完好性、连续性和稳定性等方面提出了较高要求。因此本标准在制定时对</w:t>
      </w:r>
      <w:r>
        <w:rPr>
          <w:rFonts w:hint="eastAsia"/>
          <w:highlight w:val="none"/>
          <w:lang w:eastAsia="zh-CN"/>
        </w:rPr>
        <w:t>GNSS信号模拟器</w:t>
      </w:r>
      <w:r>
        <w:rPr>
          <w:rFonts w:hint="eastAsia"/>
          <w:highlight w:val="none"/>
        </w:rPr>
        <w:t>的相关术语定义、基本功能/性能指标及其测试方法进行了定义与规范，主要内容如下：</w:t>
      </w:r>
    </w:p>
    <w:p>
      <w:pPr>
        <w:pStyle w:val="8"/>
        <w:numPr>
          <w:ilvl w:val="0"/>
          <w:numId w:val="2"/>
        </w:numPr>
        <w:ind w:left="845" w:leftChars="0" w:hanging="425" w:firstLineChars="0"/>
        <w:rPr>
          <w:highlight w:val="none"/>
        </w:rPr>
      </w:pPr>
      <w:r>
        <w:rPr>
          <w:rFonts w:hint="eastAsia"/>
          <w:highlight w:val="none"/>
        </w:rPr>
        <w:t>功能要求：规定了</w:t>
      </w:r>
      <w:r>
        <w:rPr>
          <w:rFonts w:hint="eastAsia"/>
          <w:highlight w:val="none"/>
          <w:lang w:eastAsia="zh-CN"/>
        </w:rPr>
        <w:t>GNSS信号模拟器</w:t>
      </w:r>
      <w:r>
        <w:rPr>
          <w:rFonts w:hint="eastAsia"/>
          <w:highlight w:val="none"/>
        </w:rPr>
        <w:t>应当具备的基本功能要求，包括模拟器应支持的频段信号类型、数学仿真软件各系项功能和模拟器信号校准功能的要求。</w:t>
      </w:r>
    </w:p>
    <w:p>
      <w:pPr>
        <w:pStyle w:val="8"/>
        <w:numPr>
          <w:ilvl w:val="0"/>
          <w:numId w:val="2"/>
        </w:numPr>
        <w:ind w:left="845" w:leftChars="0" w:hanging="425" w:firstLineChars="0"/>
        <w:rPr>
          <w:rFonts w:hint="eastAsia"/>
          <w:highlight w:val="none"/>
        </w:rPr>
      </w:pPr>
      <w:r>
        <w:rPr>
          <w:rFonts w:hint="eastAsia"/>
          <w:highlight w:val="none"/>
        </w:rPr>
        <w:t>指标要求：规定了</w:t>
      </w:r>
      <w:r>
        <w:rPr>
          <w:rFonts w:hint="eastAsia"/>
          <w:highlight w:val="none"/>
          <w:lang w:eastAsia="zh-CN"/>
        </w:rPr>
        <w:t>GNSS信号模拟器</w:t>
      </w:r>
      <w:r>
        <w:rPr>
          <w:rFonts w:hint="eastAsia"/>
          <w:highlight w:val="none"/>
        </w:rPr>
        <w:t>应当具备的基本性能指标要求，包括信号规模、信号精度、信号质量、信号功率和信号动态五大类基础核心指标。</w:t>
      </w:r>
    </w:p>
    <w:p>
      <w:pPr>
        <w:pStyle w:val="8"/>
        <w:numPr>
          <w:ilvl w:val="0"/>
          <w:numId w:val="2"/>
        </w:numPr>
        <w:ind w:left="845" w:leftChars="0" w:hanging="425" w:firstLineChars="0"/>
        <w:rPr>
          <w:rFonts w:hint="eastAsia"/>
          <w:highlight w:val="none"/>
        </w:rPr>
      </w:pPr>
      <w:r>
        <w:rPr>
          <w:rFonts w:hint="eastAsia"/>
          <w:highlight w:val="none"/>
        </w:rPr>
        <w:t>工作模式要求：规定了</w:t>
      </w:r>
      <w:r>
        <w:rPr>
          <w:rFonts w:hint="eastAsia"/>
          <w:highlight w:val="none"/>
          <w:lang w:eastAsia="zh-CN"/>
        </w:rPr>
        <w:t>GNSS信号模拟器</w:t>
      </w:r>
      <w:r>
        <w:rPr>
          <w:rFonts w:hint="eastAsia"/>
          <w:highlight w:val="none"/>
        </w:rPr>
        <w:t>应当具备的仿真和测试两种工作模式。</w:t>
      </w:r>
    </w:p>
    <w:p>
      <w:pPr>
        <w:pStyle w:val="8"/>
        <w:numPr>
          <w:ilvl w:val="0"/>
          <w:numId w:val="2"/>
        </w:numPr>
        <w:ind w:left="845" w:leftChars="0" w:hanging="425" w:firstLineChars="0"/>
        <w:rPr>
          <w:highlight w:val="none"/>
        </w:rPr>
      </w:pPr>
      <w:r>
        <w:rPr>
          <w:rFonts w:hint="eastAsia"/>
          <w:highlight w:val="none"/>
        </w:rPr>
        <w:t>接口要求：规定了</w:t>
      </w:r>
      <w:r>
        <w:rPr>
          <w:rFonts w:hint="eastAsia"/>
          <w:highlight w:val="none"/>
          <w:lang w:eastAsia="zh-CN"/>
        </w:rPr>
        <w:t>GNSS信号模拟器</w:t>
      </w:r>
      <w:r>
        <w:rPr>
          <w:rFonts w:hint="eastAsia"/>
          <w:highlight w:val="none"/>
        </w:rPr>
        <w:t>应当具备的信号、时钟和数据接口要求。</w:t>
      </w:r>
    </w:p>
    <w:p>
      <w:pPr>
        <w:pStyle w:val="8"/>
        <w:numPr>
          <w:ilvl w:val="0"/>
          <w:numId w:val="2"/>
        </w:numPr>
        <w:ind w:left="845" w:leftChars="0" w:hanging="425" w:firstLineChars="0"/>
        <w:rPr>
          <w:highlight w:val="none"/>
        </w:rPr>
      </w:pPr>
      <w:r>
        <w:rPr>
          <w:rFonts w:hint="eastAsia"/>
          <w:highlight w:val="none"/>
        </w:rPr>
        <w:t>测试方法：明确了</w:t>
      </w:r>
      <w:r>
        <w:rPr>
          <w:rFonts w:hint="eastAsia"/>
          <w:highlight w:val="none"/>
          <w:lang w:eastAsia="zh-CN"/>
        </w:rPr>
        <w:t>GNSS信号模拟器</w:t>
      </w:r>
      <w:r>
        <w:rPr>
          <w:rFonts w:hint="eastAsia"/>
          <w:highlight w:val="none"/>
        </w:rPr>
        <w:t>的测试项目、测试环境、测试设备要求；规范了各个测试项目的测试目的、测试框图、测试步骤及测试结果分析。</w:t>
      </w:r>
    </w:p>
    <w:p>
      <w:pPr>
        <w:pStyle w:val="3"/>
        <w:rPr>
          <w:sz w:val="24"/>
          <w:szCs w:val="24"/>
          <w:highlight w:val="none"/>
        </w:rPr>
      </w:pPr>
      <w:bookmarkStart w:id="25" w:name="_Toc354686012"/>
      <w:bookmarkStart w:id="26" w:name="_Toc20550"/>
      <w:bookmarkStart w:id="27" w:name="_Toc13844"/>
      <w:r>
        <w:rPr>
          <w:rFonts w:hint="eastAsia"/>
          <w:sz w:val="24"/>
          <w:szCs w:val="24"/>
          <w:highlight w:val="none"/>
          <w:lang w:val="en-US" w:eastAsia="zh-CN"/>
        </w:rPr>
        <w:t>2.2</w:t>
      </w:r>
      <w:r>
        <w:rPr>
          <w:rFonts w:hint="eastAsia"/>
          <w:sz w:val="24"/>
          <w:szCs w:val="24"/>
          <w:highlight w:val="none"/>
        </w:rPr>
        <w:t>必要性说明</w:t>
      </w:r>
      <w:bookmarkEnd w:id="25"/>
      <w:bookmarkEnd w:id="26"/>
      <w:bookmarkEnd w:id="27"/>
    </w:p>
    <w:p>
      <w:pPr>
        <w:pStyle w:val="4"/>
        <w:rPr>
          <w:sz w:val="24"/>
          <w:szCs w:val="24"/>
          <w:highlight w:val="none"/>
        </w:rPr>
      </w:pPr>
      <w:bookmarkStart w:id="28" w:name="_Toc354686013"/>
      <w:bookmarkStart w:id="29" w:name="_Toc366161854"/>
      <w:r>
        <w:rPr>
          <w:rFonts w:hint="eastAsia"/>
          <w:sz w:val="24"/>
          <w:szCs w:val="24"/>
          <w:highlight w:val="none"/>
          <w:lang w:val="en-US" w:eastAsia="zh-CN"/>
        </w:rPr>
        <w:t>2.2.1</w:t>
      </w:r>
      <w:r>
        <w:rPr>
          <w:rFonts w:hint="eastAsia"/>
          <w:sz w:val="24"/>
          <w:szCs w:val="24"/>
          <w:highlight w:val="none"/>
        </w:rPr>
        <w:t>数学仿真软件定义和分析</w:t>
      </w:r>
      <w:bookmarkEnd w:id="28"/>
      <w:bookmarkEnd w:id="29"/>
    </w:p>
    <w:p>
      <w:pPr>
        <w:ind w:firstLine="437"/>
        <w:rPr>
          <w:sz w:val="24"/>
          <w:highlight w:val="none"/>
        </w:rPr>
      </w:pPr>
      <w:r>
        <w:rPr>
          <w:rFonts w:hint="eastAsia"/>
          <w:sz w:val="24"/>
          <w:highlight w:val="none"/>
        </w:rPr>
        <w:t>数学仿真软件是</w:t>
      </w:r>
      <w:r>
        <w:rPr>
          <w:rFonts w:hint="eastAsia"/>
          <w:sz w:val="24"/>
          <w:highlight w:val="none"/>
          <w:lang w:eastAsia="zh-CN"/>
        </w:rPr>
        <w:t>GNSS信号模拟器</w:t>
      </w:r>
      <w:r>
        <w:rPr>
          <w:rFonts w:hint="eastAsia"/>
          <w:sz w:val="24"/>
          <w:highlight w:val="none"/>
        </w:rPr>
        <w:t>的核心部分，其主要功能是按照用户设定的仿真场景（scenarios）进行数学仿真，计算被仿真的载体天线和被仿真的可见卫星之间的伪距等参数，并生成导航数据。卫星到达角和信号功率电平等信息。控制软件根据上述数学仿真生成的数据信息控制信号发生器硬件产生符合仿真场景设置的卫星导航信号。通过控制软件提供的人机界面，模拟器用户可以根据特定的应用需求定制仿真场景，来模拟正常或异常的卫星导航应用环境。</w:t>
      </w:r>
    </w:p>
    <w:p>
      <w:pPr>
        <w:pStyle w:val="9"/>
        <w:numPr>
          <w:ilvl w:val="0"/>
          <w:numId w:val="3"/>
        </w:numPr>
        <w:ind w:firstLineChars="0"/>
        <w:rPr>
          <w:sz w:val="24"/>
          <w:highlight w:val="none"/>
        </w:rPr>
      </w:pPr>
      <w:r>
        <w:rPr>
          <w:rFonts w:hint="eastAsia"/>
          <w:sz w:val="24"/>
          <w:highlight w:val="none"/>
        </w:rPr>
        <w:t>仿真场景</w:t>
      </w:r>
    </w:p>
    <w:p>
      <w:pPr>
        <w:ind w:firstLine="435"/>
        <w:rPr>
          <w:sz w:val="24"/>
          <w:highlight w:val="none"/>
        </w:rPr>
      </w:pPr>
      <w:r>
        <w:rPr>
          <w:rFonts w:hint="eastAsia"/>
          <w:sz w:val="24"/>
          <w:highlight w:val="none"/>
        </w:rPr>
        <w:t>所谓场景，是指</w:t>
      </w:r>
      <w:r>
        <w:rPr>
          <w:rFonts w:hint="eastAsia"/>
          <w:sz w:val="24"/>
          <w:highlight w:val="none"/>
          <w:lang w:eastAsia="zh-CN"/>
        </w:rPr>
        <w:t>GNSS信号模拟器</w:t>
      </w:r>
      <w:r>
        <w:rPr>
          <w:rFonts w:hint="eastAsia"/>
          <w:sz w:val="24"/>
          <w:highlight w:val="none"/>
        </w:rPr>
        <w:t>在进行仿真设置时，必须定义的一组参数。具体包括但不限于：</w:t>
      </w:r>
    </w:p>
    <w:p>
      <w:pPr>
        <w:numPr>
          <w:ilvl w:val="0"/>
          <w:numId w:val="4"/>
        </w:numPr>
        <w:tabs>
          <w:tab w:val="left" w:pos="840"/>
        </w:tabs>
        <w:spacing w:after="80" w:line="240" w:lineRule="auto"/>
        <w:ind w:left="845" w:leftChars="0" w:hanging="425" w:firstLineChars="0"/>
        <w:rPr>
          <w:sz w:val="24"/>
          <w:highlight w:val="none"/>
        </w:rPr>
      </w:pPr>
      <w:r>
        <w:rPr>
          <w:rFonts w:hint="eastAsia"/>
          <w:sz w:val="24"/>
          <w:highlight w:val="none"/>
        </w:rPr>
        <w:t>仿真的卫星星座特征，包括多个系统卫星之间几何关系、轨道模型、轨道参数等；</w:t>
      </w:r>
    </w:p>
    <w:p>
      <w:pPr>
        <w:numPr>
          <w:ilvl w:val="0"/>
          <w:numId w:val="4"/>
        </w:numPr>
        <w:tabs>
          <w:tab w:val="left" w:pos="840"/>
        </w:tabs>
        <w:spacing w:after="80" w:line="240" w:lineRule="auto"/>
        <w:ind w:left="845" w:leftChars="0" w:hanging="425" w:firstLineChars="0"/>
        <w:rPr>
          <w:sz w:val="24"/>
          <w:highlight w:val="none"/>
        </w:rPr>
      </w:pPr>
      <w:r>
        <w:rPr>
          <w:rFonts w:hint="eastAsia"/>
          <w:sz w:val="24"/>
          <w:highlight w:val="none"/>
        </w:rPr>
        <w:t>电离层和对流层延迟模型和参数；</w:t>
      </w:r>
    </w:p>
    <w:p>
      <w:pPr>
        <w:numPr>
          <w:ilvl w:val="0"/>
          <w:numId w:val="4"/>
        </w:numPr>
        <w:tabs>
          <w:tab w:val="left" w:pos="840"/>
        </w:tabs>
        <w:spacing w:after="80" w:line="240" w:lineRule="auto"/>
        <w:ind w:left="845" w:leftChars="0" w:hanging="425" w:firstLineChars="0"/>
        <w:rPr>
          <w:sz w:val="24"/>
          <w:highlight w:val="none"/>
        </w:rPr>
      </w:pPr>
      <w:r>
        <w:rPr>
          <w:rFonts w:hint="eastAsia"/>
          <w:sz w:val="24"/>
          <w:highlight w:val="none"/>
        </w:rPr>
        <w:t>载体的类型，如步行、车载、舰船、飞机、弹载和航天器等；</w:t>
      </w:r>
    </w:p>
    <w:p>
      <w:pPr>
        <w:numPr>
          <w:ilvl w:val="0"/>
          <w:numId w:val="4"/>
        </w:numPr>
        <w:tabs>
          <w:tab w:val="left" w:pos="840"/>
        </w:tabs>
        <w:spacing w:after="80" w:line="240" w:lineRule="auto"/>
        <w:ind w:left="845" w:leftChars="0" w:hanging="425" w:firstLineChars="0"/>
        <w:rPr>
          <w:sz w:val="24"/>
          <w:highlight w:val="none"/>
        </w:rPr>
      </w:pPr>
      <w:r>
        <w:rPr>
          <w:rFonts w:hint="eastAsia"/>
          <w:sz w:val="24"/>
          <w:highlight w:val="none"/>
        </w:rPr>
        <w:t>载体的运动轨迹；</w:t>
      </w:r>
    </w:p>
    <w:p>
      <w:pPr>
        <w:numPr>
          <w:ilvl w:val="0"/>
          <w:numId w:val="4"/>
        </w:numPr>
        <w:tabs>
          <w:tab w:val="left" w:pos="840"/>
        </w:tabs>
        <w:spacing w:after="80" w:line="240" w:lineRule="auto"/>
        <w:ind w:left="845" w:leftChars="0" w:hanging="425" w:firstLineChars="0"/>
        <w:rPr>
          <w:sz w:val="24"/>
          <w:highlight w:val="none"/>
        </w:rPr>
      </w:pPr>
      <w:r>
        <w:rPr>
          <w:rFonts w:hint="eastAsia"/>
          <w:sz w:val="24"/>
          <w:highlight w:val="none"/>
        </w:rPr>
        <w:t>接收天线在载体上的安装位置；</w:t>
      </w:r>
    </w:p>
    <w:p>
      <w:pPr>
        <w:numPr>
          <w:ilvl w:val="0"/>
          <w:numId w:val="4"/>
        </w:numPr>
        <w:tabs>
          <w:tab w:val="left" w:pos="840"/>
        </w:tabs>
        <w:spacing w:after="80" w:line="240" w:lineRule="auto"/>
        <w:ind w:left="845" w:leftChars="0" w:hanging="425" w:firstLineChars="0"/>
        <w:rPr>
          <w:sz w:val="24"/>
          <w:highlight w:val="none"/>
        </w:rPr>
      </w:pPr>
      <w:r>
        <w:rPr>
          <w:rFonts w:hint="eastAsia"/>
          <w:sz w:val="24"/>
          <w:highlight w:val="none"/>
        </w:rPr>
        <w:t>接收天线的方向图等。</w:t>
      </w:r>
    </w:p>
    <w:p>
      <w:pPr>
        <w:ind w:firstLine="435"/>
        <w:rPr>
          <w:sz w:val="24"/>
          <w:highlight w:val="none"/>
        </w:rPr>
      </w:pPr>
      <w:r>
        <w:rPr>
          <w:rFonts w:hint="eastAsia"/>
          <w:sz w:val="24"/>
          <w:highlight w:val="none"/>
        </w:rPr>
        <w:t>另外，模拟器还需要提供给用户一个详尽、方便、灵活的场景定义接口，以支持用户根据特定导航应用的真实使用环境定义具有代表性的测试场景。</w:t>
      </w:r>
    </w:p>
    <w:p>
      <w:pPr>
        <w:pStyle w:val="9"/>
        <w:numPr>
          <w:ilvl w:val="0"/>
          <w:numId w:val="3"/>
        </w:numPr>
        <w:ind w:firstLineChars="0"/>
        <w:rPr>
          <w:sz w:val="24"/>
          <w:highlight w:val="none"/>
        </w:rPr>
      </w:pPr>
      <w:r>
        <w:rPr>
          <w:rFonts w:hint="eastAsia"/>
          <w:sz w:val="24"/>
          <w:highlight w:val="none"/>
        </w:rPr>
        <w:t>卫星星座仿真</w:t>
      </w:r>
    </w:p>
    <w:p>
      <w:pPr>
        <w:ind w:firstLine="437"/>
        <w:rPr>
          <w:sz w:val="24"/>
          <w:highlight w:val="none"/>
        </w:rPr>
      </w:pPr>
      <w:r>
        <w:rPr>
          <w:rFonts w:hint="eastAsia"/>
          <w:sz w:val="24"/>
          <w:highlight w:val="none"/>
        </w:rPr>
        <w:t>卫星星座仿真主要包括在伪距计算过程中的卫星轨道仿真、卫星钟差仿真、设备时延TGD仿真、地球自转效应仿真和相对论效应仿真。在多模GNSS系统各自采用的空间坐标系和时间参考基准的差别，建立时空坐标系转换的数学模型和相应的转换参数求解算法。卫星星座仿真功能是</w:t>
      </w:r>
      <w:r>
        <w:rPr>
          <w:rFonts w:hint="eastAsia"/>
          <w:sz w:val="24"/>
          <w:highlight w:val="none"/>
          <w:lang w:eastAsia="zh-CN"/>
        </w:rPr>
        <w:t>GNSS信号模拟器</w:t>
      </w:r>
      <w:r>
        <w:rPr>
          <w:rFonts w:hint="eastAsia" w:hAnsi="宋体"/>
          <w:sz w:val="24"/>
          <w:highlight w:val="none"/>
        </w:rPr>
        <w:t>最基本同时也是最核心的功能，因此必须在标准规定并提供对应的测试方法。</w:t>
      </w:r>
    </w:p>
    <w:p>
      <w:pPr>
        <w:pStyle w:val="9"/>
        <w:numPr>
          <w:ilvl w:val="0"/>
          <w:numId w:val="3"/>
        </w:numPr>
        <w:ind w:firstLineChars="0"/>
        <w:rPr>
          <w:sz w:val="24"/>
          <w:highlight w:val="none"/>
        </w:rPr>
      </w:pPr>
      <w:r>
        <w:rPr>
          <w:rFonts w:hint="eastAsia"/>
          <w:sz w:val="24"/>
          <w:highlight w:val="none"/>
        </w:rPr>
        <w:t>对流层和电离层延迟模型和参数仿真</w:t>
      </w:r>
    </w:p>
    <w:p>
      <w:pPr>
        <w:ind w:firstLine="437"/>
        <w:rPr>
          <w:sz w:val="24"/>
          <w:highlight w:val="none"/>
        </w:rPr>
      </w:pPr>
      <w:r>
        <w:rPr>
          <w:rFonts w:hint="eastAsia"/>
          <w:sz w:val="24"/>
          <w:highlight w:val="none"/>
        </w:rPr>
        <w:t>由于现实情况中对流层和电离层对导航信号的影响较大，因此</w:t>
      </w:r>
      <w:r>
        <w:rPr>
          <w:rFonts w:hint="eastAsia"/>
          <w:sz w:val="24"/>
          <w:highlight w:val="none"/>
          <w:lang w:eastAsia="zh-CN"/>
        </w:rPr>
        <w:t>GNSS信号模拟器</w:t>
      </w:r>
      <w:r>
        <w:rPr>
          <w:rFonts w:hint="eastAsia" w:hAnsi="宋体"/>
          <w:sz w:val="24"/>
          <w:highlight w:val="none"/>
        </w:rPr>
        <w:t>必须具备</w:t>
      </w:r>
      <w:r>
        <w:rPr>
          <w:rFonts w:hint="eastAsia"/>
          <w:sz w:val="24"/>
          <w:highlight w:val="none"/>
        </w:rPr>
        <w:t>多种不同的模型来仿真对流层和电离层的延迟。数学仿真软件能够提供最大的灵活性功用户选择。电离层延迟仿真需要考虑空间和地面用户的店里层延迟需要采取不同的模型进行建模，并需要考虑在空间和地面模型间进行切换时的平滑性。电离层延迟仿真还需要考虑卫星载体可能经历的导航信号两次通过电离层的情况。</w:t>
      </w:r>
    </w:p>
    <w:p>
      <w:pPr>
        <w:pStyle w:val="9"/>
        <w:numPr>
          <w:ilvl w:val="0"/>
          <w:numId w:val="3"/>
        </w:numPr>
        <w:ind w:firstLineChars="0"/>
        <w:rPr>
          <w:sz w:val="24"/>
          <w:highlight w:val="none"/>
        </w:rPr>
      </w:pPr>
      <w:r>
        <w:rPr>
          <w:rFonts w:hint="eastAsia"/>
          <w:sz w:val="24"/>
          <w:highlight w:val="none"/>
        </w:rPr>
        <w:t>载体的类型和运动轨迹姿态仿真</w:t>
      </w:r>
    </w:p>
    <w:p>
      <w:pPr>
        <w:ind w:firstLine="437"/>
        <w:rPr>
          <w:sz w:val="24"/>
          <w:highlight w:val="none"/>
        </w:rPr>
      </w:pPr>
      <w:r>
        <w:rPr>
          <w:rFonts w:hint="eastAsia"/>
          <w:sz w:val="24"/>
          <w:highlight w:val="none"/>
        </w:rPr>
        <w:t>不同载体类型具有不同的运动特征，通过不同的配置参数以反映该种类型载体运动时的特征。载体简单运动模型（矩形轨迹和圆轨迹）用于表示最简单的载体运动形式，可以通过几种方式设置多径仿真模型；飞机、车辆、舰船和航天器等载体类型的运动轨迹和姿态需要通过命令文件的形式进行定义，而个性化文件用于定义各类载体6个自由度运动的极限性能，如速度、加速度、角速度的极限值等。对于舰船载体，还可以定义海平面的状态，以建模海面碧浪的起伏对GNSS信号接收的影响。对已航天器载体需要定义轨道数据和太阳辐射的影响。数学仿真软件通过支持多种不同类型载体运动轨迹的仿真来满足导航终端的各种典型运动环境测试需求。</w:t>
      </w:r>
    </w:p>
    <w:p>
      <w:pPr>
        <w:pStyle w:val="9"/>
        <w:numPr>
          <w:ilvl w:val="0"/>
          <w:numId w:val="3"/>
        </w:numPr>
        <w:ind w:firstLineChars="0"/>
        <w:rPr>
          <w:rFonts w:hint="eastAsia"/>
          <w:sz w:val="24"/>
          <w:highlight w:val="none"/>
        </w:rPr>
      </w:pPr>
      <w:r>
        <w:rPr>
          <w:rFonts w:hint="eastAsia"/>
          <w:sz w:val="24"/>
          <w:highlight w:val="none"/>
        </w:rPr>
        <w:t>特殊场景仿真</w:t>
      </w:r>
    </w:p>
    <w:p>
      <w:pPr>
        <w:ind w:firstLine="437"/>
        <w:rPr>
          <w:sz w:val="24"/>
          <w:highlight w:val="none"/>
        </w:rPr>
      </w:pPr>
      <w:r>
        <w:rPr>
          <w:rFonts w:hint="eastAsia"/>
          <w:sz w:val="24"/>
          <w:highlight w:val="none"/>
        </w:rPr>
        <w:t>为满足</w:t>
      </w:r>
      <w:r>
        <w:rPr>
          <w:rFonts w:hint="eastAsia"/>
          <w:sz w:val="24"/>
          <w:highlight w:val="none"/>
          <w:lang w:eastAsia="zh-CN"/>
        </w:rPr>
        <w:t>GNSS信号模拟器</w:t>
      </w:r>
      <w:r>
        <w:rPr>
          <w:rFonts w:hint="eastAsia" w:hAnsi="宋体"/>
          <w:sz w:val="24"/>
          <w:highlight w:val="none"/>
        </w:rPr>
        <w:t>技术指标测试和设备溯源的需求，数学仿真软件还必须具备特殊场景仿真功能，需要能够完成卫星伪距固定、速度/加速度/加加速度固定等特殊运动状态的仿真</w:t>
      </w:r>
      <w:r>
        <w:rPr>
          <w:rFonts w:hint="eastAsia"/>
          <w:sz w:val="24"/>
          <w:highlight w:val="none"/>
        </w:rPr>
        <w:t>。</w:t>
      </w:r>
    </w:p>
    <w:p>
      <w:pPr>
        <w:pStyle w:val="9"/>
        <w:numPr>
          <w:ilvl w:val="0"/>
          <w:numId w:val="3"/>
        </w:numPr>
        <w:ind w:firstLineChars="0"/>
        <w:rPr>
          <w:sz w:val="24"/>
          <w:highlight w:val="none"/>
        </w:rPr>
      </w:pPr>
      <w:r>
        <w:rPr>
          <w:rFonts w:hint="eastAsia"/>
          <w:sz w:val="24"/>
          <w:highlight w:val="none"/>
        </w:rPr>
        <w:t>接收机天线方向图仿真</w:t>
      </w:r>
    </w:p>
    <w:p>
      <w:pPr>
        <w:ind w:firstLine="437"/>
        <w:rPr>
          <w:sz w:val="24"/>
          <w:highlight w:val="none"/>
        </w:rPr>
      </w:pPr>
      <w:r>
        <w:rPr>
          <w:rFonts w:hint="eastAsia"/>
          <w:sz w:val="24"/>
          <w:highlight w:val="none"/>
        </w:rPr>
        <w:t>GNSS接收天线具有全相接收的能力，但对应不同方位角和仰角，天线具有不同的接收增益。通过制定接收机天线方向图，数学仿真软件可以根据不同卫星相对于接收天线的方位角和仰角来改变卫星型号功率电平，以更真实的仿真实际的接收场景，因此</w:t>
      </w:r>
      <w:r>
        <w:rPr>
          <w:rFonts w:hint="eastAsia"/>
          <w:sz w:val="24"/>
          <w:highlight w:val="none"/>
          <w:lang w:eastAsia="zh-CN"/>
        </w:rPr>
        <w:t>GNSS信号模拟器</w:t>
      </w:r>
      <w:r>
        <w:rPr>
          <w:rFonts w:hint="eastAsia"/>
          <w:sz w:val="24"/>
          <w:highlight w:val="none"/>
        </w:rPr>
        <w:t>必需具备该项功能。</w:t>
      </w:r>
    </w:p>
    <w:p>
      <w:pPr>
        <w:pStyle w:val="9"/>
        <w:numPr>
          <w:ilvl w:val="0"/>
          <w:numId w:val="3"/>
        </w:numPr>
        <w:ind w:firstLineChars="0"/>
        <w:rPr>
          <w:sz w:val="24"/>
          <w:highlight w:val="none"/>
        </w:rPr>
      </w:pPr>
      <w:r>
        <w:rPr>
          <w:rFonts w:hint="eastAsia"/>
          <w:sz w:val="24"/>
          <w:highlight w:val="none"/>
        </w:rPr>
        <w:t>特殊事件仿真</w:t>
      </w:r>
    </w:p>
    <w:p>
      <w:pPr>
        <w:ind w:firstLine="437"/>
        <w:rPr>
          <w:sz w:val="24"/>
          <w:highlight w:val="none"/>
        </w:rPr>
      </w:pPr>
      <w:r>
        <w:rPr>
          <w:rFonts w:hint="eastAsia"/>
          <w:sz w:val="24"/>
          <w:highlight w:val="none"/>
        </w:rPr>
        <w:t>在GNSS接受设备使用过程中会遭遇到一些特殊事件。这些事件有些实际上是正常事件但发生的频率较低，例如，跨周、闰秒调整等；有些事特殊情况，只有在极端情况下才可能发生或发生概率极低，例如，卫星发生故障。在接受设备研制过程中，需要考虑这些特殊事件的情况并针对性的进行处理，例如可以检测隔离故障卫星的接收机自主完好性算法（RAIM）等；而在接收设备验收测试过程中，需要设计针对这些特殊事件发生的测试场景。</w:t>
      </w:r>
      <w:r>
        <w:rPr>
          <w:rFonts w:hint="eastAsia"/>
          <w:sz w:val="24"/>
          <w:highlight w:val="none"/>
          <w:lang w:eastAsia="zh-CN"/>
        </w:rPr>
        <w:t>GNSS信号模拟器</w:t>
      </w:r>
      <w:r>
        <w:rPr>
          <w:rFonts w:hint="eastAsia"/>
          <w:sz w:val="24"/>
          <w:highlight w:val="none"/>
        </w:rPr>
        <w:t>必需具有按用户设置生成这些特殊事件的能力。</w:t>
      </w:r>
    </w:p>
    <w:p>
      <w:pPr>
        <w:pStyle w:val="4"/>
        <w:rPr>
          <w:sz w:val="24"/>
          <w:szCs w:val="24"/>
          <w:highlight w:val="none"/>
        </w:rPr>
      </w:pPr>
      <w:bookmarkStart w:id="30" w:name="_Toc366161855"/>
      <w:bookmarkStart w:id="31" w:name="_Toc354686014"/>
      <w:r>
        <w:rPr>
          <w:rFonts w:hint="eastAsia"/>
          <w:sz w:val="24"/>
          <w:szCs w:val="24"/>
          <w:highlight w:val="none"/>
          <w:lang w:val="en-US" w:eastAsia="zh-CN"/>
        </w:rPr>
        <w:t>2.2.2</w:t>
      </w:r>
      <w:r>
        <w:rPr>
          <w:rFonts w:hint="eastAsia"/>
          <w:sz w:val="24"/>
          <w:szCs w:val="24"/>
          <w:highlight w:val="none"/>
        </w:rPr>
        <w:t>射频信号精度类</w:t>
      </w:r>
      <w:bookmarkEnd w:id="30"/>
      <w:r>
        <w:rPr>
          <w:rFonts w:hint="eastAsia"/>
          <w:sz w:val="24"/>
          <w:szCs w:val="24"/>
          <w:highlight w:val="none"/>
        </w:rPr>
        <w:t>指标</w:t>
      </w:r>
      <w:bookmarkEnd w:id="31"/>
    </w:p>
    <w:p>
      <w:pPr>
        <w:ind w:firstLine="484" w:firstLineChars="202"/>
        <w:rPr>
          <w:sz w:val="24"/>
          <w:highlight w:val="none"/>
        </w:rPr>
      </w:pPr>
      <w:r>
        <w:rPr>
          <w:rFonts w:hint="eastAsia"/>
          <w:sz w:val="24"/>
          <w:highlight w:val="none"/>
        </w:rPr>
        <w:t>卫星导航信号模拟的一个核心问题是单星信号的生成与精度保证。即精确模拟单颗导航卫星信号的空间传输过程。能够验证这一环节的射频信号精度类指标包括：伪距相位控制精度、伪距变化率精度、通道间码/载波一致性和IQ正交性。结合国内外各型号</w:t>
      </w:r>
      <w:r>
        <w:rPr>
          <w:rFonts w:hint="eastAsia"/>
          <w:sz w:val="24"/>
          <w:highlight w:val="none"/>
          <w:lang w:eastAsia="zh-CN"/>
        </w:rPr>
        <w:t>GNSS信号模拟器</w:t>
      </w:r>
      <w:r>
        <w:rPr>
          <w:rFonts w:hint="eastAsia"/>
          <w:sz w:val="24"/>
          <w:highlight w:val="none"/>
        </w:rPr>
        <w:t>的技术规格这几项指标都必须在标准中给予明确要求。</w:t>
      </w:r>
    </w:p>
    <w:p>
      <w:pPr>
        <w:pStyle w:val="4"/>
        <w:rPr>
          <w:sz w:val="24"/>
          <w:szCs w:val="24"/>
          <w:highlight w:val="none"/>
        </w:rPr>
      </w:pPr>
      <w:bookmarkStart w:id="32" w:name="_Toc354686015"/>
      <w:bookmarkStart w:id="33" w:name="_Toc366161856"/>
      <w:r>
        <w:rPr>
          <w:rFonts w:hint="eastAsia"/>
          <w:sz w:val="24"/>
          <w:szCs w:val="24"/>
          <w:highlight w:val="none"/>
          <w:lang w:val="en-US" w:eastAsia="zh-CN"/>
        </w:rPr>
        <w:t>2.2.3</w:t>
      </w:r>
      <w:r>
        <w:rPr>
          <w:rFonts w:hint="eastAsia"/>
          <w:sz w:val="24"/>
          <w:szCs w:val="24"/>
          <w:highlight w:val="none"/>
        </w:rPr>
        <w:t>射频信号质量类指标</w:t>
      </w:r>
      <w:bookmarkEnd w:id="32"/>
      <w:bookmarkEnd w:id="33"/>
    </w:p>
    <w:p>
      <w:pPr>
        <w:ind w:firstLine="437"/>
        <w:rPr>
          <w:sz w:val="24"/>
          <w:highlight w:val="none"/>
        </w:rPr>
      </w:pPr>
      <w:r>
        <w:rPr>
          <w:rFonts w:hint="eastAsia"/>
          <w:sz w:val="24"/>
          <w:highlight w:val="none"/>
        </w:rPr>
        <w:t>该类指标规定了</w:t>
      </w:r>
      <w:r>
        <w:rPr>
          <w:rFonts w:hint="eastAsia"/>
          <w:sz w:val="24"/>
          <w:highlight w:val="none"/>
          <w:lang w:eastAsia="zh-CN"/>
        </w:rPr>
        <w:t>GNSS信号模拟器</w:t>
      </w:r>
      <w:r>
        <w:rPr>
          <w:rFonts w:hint="eastAsia"/>
          <w:sz w:val="24"/>
          <w:highlight w:val="none"/>
        </w:rPr>
        <w:t>输出的射频信号的质量。能够验证这一环节的射频信号精度类指标包括：相位噪声、频率稳定度和谐杂波抑。结合国内外各型号</w:t>
      </w:r>
      <w:r>
        <w:rPr>
          <w:rFonts w:hint="eastAsia"/>
          <w:sz w:val="24"/>
          <w:highlight w:val="none"/>
          <w:lang w:eastAsia="zh-CN"/>
        </w:rPr>
        <w:t>GNSS信号模拟器</w:t>
      </w:r>
      <w:r>
        <w:rPr>
          <w:rFonts w:hint="eastAsia"/>
          <w:sz w:val="24"/>
          <w:highlight w:val="none"/>
        </w:rPr>
        <w:t>的技术规格这几项指标都必须在标准中给予明确要求。</w:t>
      </w:r>
    </w:p>
    <w:p>
      <w:pPr>
        <w:pStyle w:val="4"/>
        <w:rPr>
          <w:rFonts w:hint="eastAsia"/>
          <w:sz w:val="24"/>
          <w:szCs w:val="24"/>
          <w:highlight w:val="none"/>
        </w:rPr>
      </w:pPr>
      <w:bookmarkStart w:id="34" w:name="_Toc366161857"/>
      <w:bookmarkStart w:id="35" w:name="_Toc354686016"/>
      <w:r>
        <w:rPr>
          <w:rFonts w:hint="eastAsia"/>
          <w:sz w:val="24"/>
          <w:szCs w:val="24"/>
          <w:highlight w:val="none"/>
          <w:lang w:val="en-US" w:eastAsia="zh-CN"/>
        </w:rPr>
        <w:t>2.2.4</w:t>
      </w:r>
      <w:r>
        <w:rPr>
          <w:rFonts w:hint="eastAsia"/>
          <w:sz w:val="24"/>
          <w:szCs w:val="24"/>
          <w:highlight w:val="none"/>
        </w:rPr>
        <w:t>输出信号功率控制类</w:t>
      </w:r>
      <w:bookmarkEnd w:id="34"/>
      <w:bookmarkEnd w:id="35"/>
    </w:p>
    <w:p>
      <w:pPr>
        <w:ind w:firstLine="437"/>
        <w:rPr>
          <w:sz w:val="24"/>
          <w:highlight w:val="none"/>
        </w:rPr>
      </w:pPr>
      <w:r>
        <w:rPr>
          <w:rFonts w:hint="eastAsia"/>
          <w:sz w:val="24"/>
          <w:highlight w:val="none"/>
        </w:rPr>
        <w:t>该类指标规定了</w:t>
      </w:r>
      <w:r>
        <w:rPr>
          <w:rFonts w:hint="eastAsia"/>
          <w:sz w:val="24"/>
          <w:highlight w:val="none"/>
          <w:lang w:eastAsia="zh-CN"/>
        </w:rPr>
        <w:t>GNSS信号模拟器</w:t>
      </w:r>
      <w:r>
        <w:rPr>
          <w:rFonts w:hint="eastAsia"/>
          <w:sz w:val="24"/>
          <w:highlight w:val="none"/>
        </w:rPr>
        <w:t>输出的射频信号的功率控制范围、准确度和重复度，这是对导航终端测试准确性和一致性的基本保障指标，必需要在标准中给予明确要求。具体指标包括：功率分辨率、绝对精度、重复精度、线性度和控制范围。</w:t>
      </w:r>
    </w:p>
    <w:p>
      <w:pPr>
        <w:pStyle w:val="2"/>
        <w:spacing w:before="0" w:beforeLines="0"/>
        <w:rPr>
          <w:rFonts w:hint="eastAsia"/>
          <w:sz w:val="24"/>
          <w:szCs w:val="24"/>
          <w:highlight w:val="none"/>
        </w:rPr>
      </w:pPr>
      <w:bookmarkStart w:id="36" w:name="_Toc354686017"/>
      <w:bookmarkStart w:id="37" w:name="_Toc12037"/>
      <w:bookmarkStart w:id="38" w:name="_Toc363139965"/>
      <w:bookmarkStart w:id="39" w:name="_Toc29698"/>
      <w:bookmarkStart w:id="40" w:name="_Toc363807025"/>
      <w:bookmarkStart w:id="41" w:name="_Toc366160669"/>
      <w:r>
        <w:rPr>
          <w:rFonts w:hint="eastAsia"/>
          <w:sz w:val="24"/>
          <w:szCs w:val="24"/>
          <w:highlight w:val="none"/>
        </w:rPr>
        <w:t>主要</w:t>
      </w:r>
      <w:r>
        <w:rPr>
          <w:rFonts w:hint="eastAsia"/>
          <w:sz w:val="24"/>
          <w:szCs w:val="24"/>
          <w:highlight w:val="none"/>
          <w:lang w:eastAsia="zh-CN"/>
        </w:rPr>
        <w:t>试验</w:t>
      </w:r>
      <w:r>
        <w:rPr>
          <w:rFonts w:hint="eastAsia"/>
          <w:sz w:val="24"/>
          <w:szCs w:val="24"/>
          <w:highlight w:val="none"/>
        </w:rPr>
        <w:t>或验证的分析</w:t>
      </w:r>
      <w:bookmarkEnd w:id="36"/>
      <w:bookmarkEnd w:id="37"/>
      <w:bookmarkEnd w:id="38"/>
      <w:bookmarkEnd w:id="39"/>
      <w:bookmarkEnd w:id="40"/>
      <w:bookmarkEnd w:id="41"/>
    </w:p>
    <w:p>
      <w:pPr>
        <w:pStyle w:val="4"/>
        <w:numPr>
          <w:ilvl w:val="1"/>
          <w:numId w:val="0"/>
        </w:numPr>
        <w:rPr>
          <w:sz w:val="24"/>
          <w:szCs w:val="24"/>
          <w:highlight w:val="none"/>
        </w:rPr>
      </w:pPr>
      <w:bookmarkStart w:id="42" w:name="_Toc32038"/>
      <w:bookmarkStart w:id="43" w:name="_Toc17958"/>
      <w:bookmarkStart w:id="44" w:name="_Toc354686018"/>
      <w:r>
        <w:rPr>
          <w:rFonts w:hint="eastAsia"/>
          <w:sz w:val="24"/>
          <w:szCs w:val="24"/>
          <w:highlight w:val="none"/>
          <w:lang w:val="en-US" w:eastAsia="zh-CN"/>
        </w:rPr>
        <w:t>3.1</w:t>
      </w:r>
      <w:r>
        <w:rPr>
          <w:rFonts w:hint="eastAsia"/>
          <w:sz w:val="24"/>
          <w:szCs w:val="24"/>
          <w:highlight w:val="none"/>
        </w:rPr>
        <w:t>射频信号精度类指标</w:t>
      </w:r>
      <w:bookmarkEnd w:id="42"/>
      <w:bookmarkEnd w:id="43"/>
      <w:bookmarkEnd w:id="44"/>
    </w:p>
    <w:p>
      <w:pPr>
        <w:pStyle w:val="9"/>
        <w:numPr>
          <w:ilvl w:val="0"/>
          <w:numId w:val="5"/>
        </w:numPr>
        <w:ind w:firstLineChars="0"/>
        <w:rPr>
          <w:sz w:val="24"/>
          <w:highlight w:val="none"/>
        </w:rPr>
      </w:pPr>
      <w:r>
        <w:rPr>
          <w:rFonts w:hint="eastAsia"/>
          <w:sz w:val="24"/>
          <w:highlight w:val="none"/>
        </w:rPr>
        <w:t>伪距相位控制精度</w:t>
      </w:r>
    </w:p>
    <w:p>
      <w:pPr>
        <w:ind w:firstLine="484" w:firstLineChars="202"/>
        <w:rPr>
          <w:sz w:val="24"/>
          <w:highlight w:val="none"/>
        </w:rPr>
      </w:pPr>
      <w:r>
        <w:rPr>
          <w:rFonts w:hint="eastAsia"/>
          <w:sz w:val="24"/>
          <w:highlight w:val="none"/>
        </w:rPr>
        <w:t>卫星导航接收机通过接收多颗导航卫星信号（卫星导航信号源/模拟器模拟的卫星信号）中的测距码就可计算得到卫星到接收机的距离，由于含有接收机和卫星的钟差及大气传播误差，故称为伪距</w:t>
      </w:r>
      <w:r>
        <w:rPr>
          <w:sz w:val="24"/>
          <w:highlight w:val="none"/>
        </w:rPr>
        <w:t>。</w:t>
      </w:r>
      <w:r>
        <w:rPr>
          <w:rFonts w:hint="eastAsia"/>
          <w:sz w:val="24"/>
          <w:highlight w:val="none"/>
        </w:rPr>
        <w:t>我们这里讨论研究的伪距误差是指卫星导航信号源/模拟器对所模拟生成的各颗导航卫星信号伪距的控制误差。</w:t>
      </w:r>
    </w:p>
    <w:p>
      <w:pPr>
        <w:ind w:firstLine="484" w:firstLineChars="202"/>
        <w:rPr>
          <w:sz w:val="24"/>
          <w:highlight w:val="none"/>
        </w:rPr>
      </w:pPr>
      <w:r>
        <w:rPr>
          <w:rFonts w:hint="eastAsia"/>
          <w:sz w:val="24"/>
          <w:highlight w:val="none"/>
          <w:lang w:eastAsia="zh-CN"/>
        </w:rPr>
        <w:t>GNSS信号模拟器</w:t>
      </w:r>
      <w:r>
        <w:rPr>
          <w:rFonts w:hint="eastAsia"/>
          <w:sz w:val="24"/>
          <w:highlight w:val="none"/>
        </w:rPr>
        <w:t>的伪距相位控制精度指标直接影响到了卫星导航接收机的定位精度，目前各类导航终端通过伪码解算定位的精度最高能够达到分米级精度，模拟器作为卫星导航终端设备的测试、计量仪器，从指标溯源角度上讲模拟器的伪距控制精度至少要为厘米级，同时虑到指标制定的通用性及对应测试方法可达到的测试精度，本标准制定伪距控制精度为优于0.05m（RMS 1分钟）。</w:t>
      </w:r>
    </w:p>
    <w:p>
      <w:pPr>
        <w:ind w:firstLine="484" w:firstLineChars="202"/>
        <w:rPr>
          <w:rFonts w:hint="eastAsia"/>
          <w:sz w:val="24"/>
          <w:highlight w:val="none"/>
        </w:rPr>
      </w:pPr>
      <w:r>
        <w:rPr>
          <w:rFonts w:hint="eastAsia"/>
          <w:sz w:val="24"/>
          <w:highlight w:val="none"/>
        </w:rPr>
        <w:t>依据卫星导航信号模拟器信号的生成原理，伪距误差控制实质上反映在对信号的时延控制上。因此伪距控制精度的测量采用用宽带高速采样存储示波器对射频信号进行时域观测。设置卫星为单颗静止状态，产生待测星座、待测频点的一颗卫星信号，调制方式设置为BPSK，伪距设置为0。将模拟源输出的1pps信号及标校口输出的单颗卫星的高功率BPSK射频信号分别接入示波器的两个采样通道。将示波器采集的足够时长T的双通道信号存储后通过后处理软件在时域上分析每一整秒码相位翻转点相对于模拟源输出的1pps脉冲上升沿之间的时间差，对整秒码相位翻转点的时延序列进行统计分析，以得到伪距控制误差偏差、抖动及稳定性测量值。</w:t>
      </w:r>
    </w:p>
    <w:p>
      <w:pPr>
        <w:ind w:firstLine="484" w:firstLineChars="202"/>
        <w:rPr>
          <w:sz w:val="24"/>
          <w:highlight w:val="none"/>
        </w:rPr>
      </w:pPr>
      <w:r>
        <w:rPr>
          <w:rFonts w:hint="eastAsia"/>
          <w:sz w:val="24"/>
          <w:highlight w:val="none"/>
        </w:rPr>
        <w:t>使用高速示波器进行伪距控制精度的测试方法经过大量实测数据和工程经验确认能够保证完成该项指标0.05m精度的测试。</w:t>
      </w:r>
    </w:p>
    <w:p>
      <w:pPr>
        <w:pStyle w:val="9"/>
        <w:numPr>
          <w:ilvl w:val="0"/>
          <w:numId w:val="5"/>
        </w:numPr>
        <w:ind w:firstLineChars="0"/>
        <w:rPr>
          <w:sz w:val="24"/>
          <w:highlight w:val="none"/>
        </w:rPr>
      </w:pPr>
      <w:r>
        <w:rPr>
          <w:rFonts w:hint="eastAsia"/>
          <w:sz w:val="24"/>
          <w:highlight w:val="none"/>
        </w:rPr>
        <w:t>伪距变化率精度</w:t>
      </w:r>
    </w:p>
    <w:p>
      <w:pPr>
        <w:ind w:firstLine="484" w:firstLineChars="202"/>
        <w:rPr>
          <w:sz w:val="24"/>
          <w:highlight w:val="none"/>
        </w:rPr>
      </w:pPr>
      <w:r>
        <w:rPr>
          <w:rFonts w:hint="eastAsia"/>
          <w:sz w:val="24"/>
          <w:highlight w:val="none"/>
        </w:rPr>
        <w:t>在实际情况中卫星导航接收机接收到的测距码的值是不断变化的，即解算出的伪距值也是在不断变化的，该项指标直接影响导航产品的测速精度，因此伪距变化率误差同样是衡量卫星导航信号模拟源性能的关键指标。经查询目前各类导航产品的测速精度指标为0.2m/s，从测量溯源角度模拟器伪距变化率精度指标的制定必须高其一个数量级。同时结合当前模拟器伪距变化率指标测试普遍采用测试输出的信号的频率变化值，利用多普勒公式换算可得出</w:t>
      </w:r>
      <w:r>
        <w:rPr>
          <w:sz w:val="24"/>
          <w:highlight w:val="none"/>
        </w:rPr>
        <w:t>伪距变化</w:t>
      </w:r>
      <w:r>
        <w:rPr>
          <w:rFonts w:hint="eastAsia"/>
          <w:sz w:val="24"/>
          <w:highlight w:val="none"/>
        </w:rPr>
        <w:t>率指标，可得到较高精度的测试结果。因此本标准最终制定的伪距变化率精度指标为0.01m/s。</w:t>
      </w:r>
    </w:p>
    <w:p>
      <w:pPr>
        <w:ind w:firstLine="484" w:firstLineChars="202"/>
        <w:rPr>
          <w:rFonts w:hint="eastAsia"/>
          <w:sz w:val="24"/>
          <w:highlight w:val="none"/>
        </w:rPr>
      </w:pPr>
      <w:r>
        <w:rPr>
          <w:rFonts w:hint="eastAsia"/>
          <w:sz w:val="24"/>
          <w:highlight w:val="none"/>
        </w:rPr>
        <w:t>该项指标需要测试的是单位时间内模拟源的伪距控制误差。具体测试方法为，编辑特殊测试场景，产生待测星座、待测频点的一颗卫星信号，调制方式设置为单载波，</w:t>
      </w:r>
      <w:r>
        <w:rPr>
          <w:sz w:val="24"/>
          <w:highlight w:val="none"/>
        </w:rPr>
        <w:t>设置</w:t>
      </w:r>
      <w:r>
        <w:rPr>
          <w:rFonts w:hint="eastAsia"/>
          <w:sz w:val="24"/>
          <w:highlight w:val="none"/>
        </w:rPr>
        <w:t>该颗</w:t>
      </w:r>
      <w:r>
        <w:rPr>
          <w:sz w:val="24"/>
          <w:highlight w:val="none"/>
        </w:rPr>
        <w:t>卫星</w:t>
      </w:r>
      <w:r>
        <w:rPr>
          <w:rFonts w:hint="eastAsia"/>
          <w:sz w:val="24"/>
          <w:highlight w:val="none"/>
        </w:rPr>
        <w:t>的</w:t>
      </w:r>
      <w:r>
        <w:rPr>
          <w:sz w:val="24"/>
          <w:highlight w:val="none"/>
        </w:rPr>
        <w:t>伪距</w:t>
      </w:r>
      <w:r>
        <w:rPr>
          <w:rFonts w:hint="eastAsia"/>
          <w:sz w:val="24"/>
          <w:highlight w:val="none"/>
        </w:rPr>
        <w:t>以指标要求的伪距变化率变化。使用与被测</w:t>
      </w:r>
      <w:r>
        <w:rPr>
          <w:sz w:val="24"/>
          <w:highlight w:val="none"/>
        </w:rPr>
        <w:t>模拟</w:t>
      </w:r>
      <w:r>
        <w:rPr>
          <w:rFonts w:hint="eastAsia"/>
          <w:sz w:val="24"/>
          <w:highlight w:val="none"/>
        </w:rPr>
        <w:t>器同源的时间间隔计数器测试在该特殊测试场景下，模拟器输出的信号的频率变化值，利用多普勒公式换算可得出模拟器输出信号的</w:t>
      </w:r>
      <w:r>
        <w:rPr>
          <w:sz w:val="24"/>
          <w:highlight w:val="none"/>
        </w:rPr>
        <w:t>伪距变化与时间的关系即</w:t>
      </w:r>
      <w:r>
        <w:rPr>
          <w:rFonts w:hint="eastAsia"/>
          <w:sz w:val="24"/>
          <w:highlight w:val="none"/>
        </w:rPr>
        <w:t>伪距变化率</w:t>
      </w:r>
      <w:r>
        <w:rPr>
          <w:sz w:val="24"/>
          <w:highlight w:val="none"/>
        </w:rPr>
        <w:t>。</w:t>
      </w:r>
    </w:p>
    <w:p>
      <w:pPr>
        <w:ind w:firstLine="484" w:firstLineChars="202"/>
        <w:rPr>
          <w:sz w:val="24"/>
          <w:highlight w:val="none"/>
        </w:rPr>
      </w:pPr>
      <w:r>
        <w:rPr>
          <w:rFonts w:hint="eastAsia"/>
          <w:sz w:val="24"/>
          <w:highlight w:val="none"/>
        </w:rPr>
        <w:t>使用时间间隔计数器进行伪距变化率精度的测试方法经过大量实测数据和工程经验确认能够保证完成该项指标0.01m/s精度的测试。</w:t>
      </w:r>
    </w:p>
    <w:p>
      <w:pPr>
        <w:pStyle w:val="9"/>
        <w:numPr>
          <w:ilvl w:val="0"/>
          <w:numId w:val="5"/>
        </w:numPr>
        <w:ind w:firstLineChars="0"/>
        <w:rPr>
          <w:rFonts w:hint="eastAsia"/>
          <w:sz w:val="24"/>
          <w:highlight w:val="none"/>
        </w:rPr>
      </w:pPr>
      <w:r>
        <w:rPr>
          <w:rFonts w:hint="eastAsia"/>
          <w:sz w:val="24"/>
          <w:highlight w:val="none"/>
        </w:rPr>
        <w:t>通道间一致性</w:t>
      </w:r>
    </w:p>
    <w:p>
      <w:pPr>
        <w:ind w:firstLine="484" w:firstLineChars="202"/>
        <w:rPr>
          <w:rFonts w:hint="eastAsia"/>
          <w:sz w:val="24"/>
          <w:highlight w:val="none"/>
        </w:rPr>
      </w:pPr>
      <w:r>
        <w:rPr>
          <w:rFonts w:hint="eastAsia"/>
          <w:sz w:val="24"/>
          <w:highlight w:val="none"/>
        </w:rPr>
        <w:t>通道间一致性参数反映的是模拟源输出的多个通道信号间延迟的分散性，对于导航型终端产品的接收处理而言，主要影响的是码相位通道间一致性，对于测量型终端产品的接收处理而言，如果采用载波相位测距原理，则模拟器的载波相位通道间一致性指标对其定位精度也会有影响。因此标准所提通道间一致性指标时需要对码和载波都进行要求。</w:t>
      </w:r>
    </w:p>
    <w:p>
      <w:pPr>
        <w:ind w:firstLine="484" w:firstLineChars="202"/>
        <w:rPr>
          <w:rFonts w:hint="eastAsia"/>
          <w:sz w:val="24"/>
          <w:highlight w:val="none"/>
        </w:rPr>
      </w:pPr>
      <w:r>
        <w:rPr>
          <w:rFonts w:hint="eastAsia"/>
          <w:sz w:val="24"/>
          <w:highlight w:val="none"/>
        </w:rPr>
        <w:t>导航终端产品也都有通道间一致性指标，经查询导航型终端的码通道间一致性指标指标为0.5ns，考虑模拟器码相位通道间一致性与伪距相位控制精度有一定关联，按照满足导航终端产品的测试要求兼顾测试溯源要求，模拟器的码相位通道间一致性指标定为</w:t>
      </w:r>
      <w:r>
        <w:rPr>
          <w:rFonts w:hint="eastAsia" w:ascii="宋体" w:hAnsi="宋体" w:cs="宋体-WinCharSetFFFF-H"/>
          <w:kern w:val="0"/>
          <w:sz w:val="24"/>
          <w:szCs w:val="21"/>
          <w:highlight w:val="none"/>
        </w:rPr>
        <w:t>&lt;0.05m（0.167ns）</w:t>
      </w:r>
      <w:r>
        <w:rPr>
          <w:rFonts w:hint="eastAsia"/>
          <w:sz w:val="24"/>
          <w:highlight w:val="none"/>
        </w:rPr>
        <w:t>。</w:t>
      </w:r>
    </w:p>
    <w:p>
      <w:pPr>
        <w:ind w:firstLine="484" w:firstLineChars="202"/>
        <w:rPr>
          <w:rFonts w:hint="eastAsia"/>
          <w:sz w:val="24"/>
          <w:highlight w:val="none"/>
        </w:rPr>
      </w:pPr>
      <w:r>
        <w:rPr>
          <w:rFonts w:hint="eastAsia"/>
          <w:sz w:val="24"/>
          <w:highlight w:val="none"/>
        </w:rPr>
        <w:t>经查询测量型导航终端的载波相位测量精度：≤0.05周，已BDS-B2频点（1207.14MHz）为例其对应的载波相位测距精度约为0.012m，按照满足导航终端产品的测试要求兼顾测试溯源要求，模拟器的载波相位通道间一致性指标定为&lt;0.0001m（载波）。</w:t>
      </w:r>
    </w:p>
    <w:p>
      <w:pPr>
        <w:pStyle w:val="9"/>
        <w:numPr>
          <w:ilvl w:val="0"/>
          <w:numId w:val="5"/>
        </w:numPr>
        <w:ind w:firstLineChars="0"/>
        <w:rPr>
          <w:rFonts w:hint="eastAsia"/>
          <w:sz w:val="24"/>
          <w:highlight w:val="none"/>
        </w:rPr>
      </w:pPr>
      <w:r>
        <w:rPr>
          <w:rFonts w:hint="eastAsia"/>
          <w:sz w:val="24"/>
          <w:highlight w:val="none"/>
        </w:rPr>
        <w:t>信号间码相位一致性</w:t>
      </w:r>
    </w:p>
    <w:p>
      <w:pPr>
        <w:ind w:firstLine="484" w:firstLineChars="202"/>
        <w:rPr>
          <w:sz w:val="24"/>
          <w:highlight w:val="none"/>
        </w:rPr>
      </w:pPr>
      <w:r>
        <w:rPr>
          <w:rFonts w:hint="eastAsia"/>
          <w:sz w:val="24"/>
          <w:highlight w:val="none"/>
        </w:rPr>
        <w:t>信号间码相位一致性指标及定义源自信号通道间一致性，当前多系统多频点兼容定位是导航终端的发展趋势，因此GNSS模拟器大多也都具备多系统多频点并行仿真输出，针对模拟器输出信号频段的区分，在本标准中我们定义了同频码相位一致性偏差：≤0.03m和不同频码相位一致性偏差：≤0.05m。</w:t>
      </w:r>
    </w:p>
    <w:p>
      <w:pPr>
        <w:pStyle w:val="9"/>
        <w:numPr>
          <w:ilvl w:val="0"/>
          <w:numId w:val="5"/>
        </w:numPr>
        <w:ind w:firstLineChars="0"/>
        <w:rPr>
          <w:sz w:val="24"/>
          <w:highlight w:val="none"/>
        </w:rPr>
      </w:pPr>
      <w:r>
        <w:rPr>
          <w:rFonts w:hint="eastAsia"/>
          <w:sz w:val="24"/>
          <w:highlight w:val="none"/>
        </w:rPr>
        <w:t>IQ相位正交性</w:t>
      </w:r>
    </w:p>
    <w:p>
      <w:pPr>
        <w:ind w:firstLine="484" w:firstLineChars="202"/>
        <w:rPr>
          <w:sz w:val="24"/>
          <w:highlight w:val="none"/>
        </w:rPr>
      </w:pPr>
      <w:r>
        <w:rPr>
          <w:rFonts w:hint="eastAsia"/>
          <w:sz w:val="24"/>
          <w:highlight w:val="none"/>
        </w:rPr>
        <w:t>模拟器仿真卫星信号的IQ支路相位调制正交性会影响到两路信号的串扰，实质上反映了导航信号的解扩解调损失, 对于系统用户而言, 在相同输入载噪谱密度比和接收参数情况下影响着定位精度和信息误码率。在我国北斗卫星导航系统的ICD中定义的相位正交性小于</w:t>
      </w:r>
      <w:r>
        <w:rPr>
          <w:sz w:val="24"/>
          <w:highlight w:val="none"/>
        </w:rPr>
        <w:t>5</w:t>
      </w:r>
      <w:r>
        <w:rPr>
          <w:rFonts w:hint="eastAsia"/>
          <w:sz w:val="24"/>
          <w:highlight w:val="none"/>
        </w:rPr>
        <w:t>度，该项指标对应为卫星的指标而对于模拟器来讲由于其采用的信号处理技术可实现更高的精度。</w:t>
      </w:r>
    </w:p>
    <w:p>
      <w:pPr>
        <w:ind w:firstLine="484" w:firstLineChars="202"/>
        <w:rPr>
          <w:sz w:val="24"/>
          <w:highlight w:val="none"/>
        </w:rPr>
      </w:pPr>
      <w:r>
        <w:rPr>
          <w:rFonts w:hint="eastAsia"/>
          <w:sz w:val="24"/>
          <w:highlight w:val="none"/>
        </w:rPr>
        <w:t>以当前主要采用的直接数字频率合成技术来讲相位分辨率取决于相位累加器位数和ROM位数，这里采用32位累加器和14 位ＲOM 表，相位累加器输出的相位分辨率为360°/232，查14位ＲOM表后相位分辨率降为0.0035°，可见输出信号相位分辨率理论上来讲很高。但是还受两级变频的射频正交调制的影响，目前的水平一般为0.7°左右。同时根据分析在强载噪比信号环境下的测量精度约为0.1°，所以模拟器的指标的制定综合考虑设计指标和测量能力以及对信号质量的影响，定义为1°左右是合理的。</w:t>
      </w:r>
    </w:p>
    <w:p>
      <w:pPr>
        <w:ind w:firstLine="484" w:firstLineChars="202"/>
        <w:rPr>
          <w:rFonts w:hint="eastAsia"/>
          <w:color w:val="000000"/>
          <w:kern w:val="0"/>
          <w:sz w:val="24"/>
          <w:highlight w:val="none"/>
        </w:rPr>
      </w:pPr>
      <w:r>
        <w:rPr>
          <w:rFonts w:hint="eastAsia"/>
          <w:color w:val="000000"/>
          <w:kern w:val="0"/>
          <w:sz w:val="24"/>
          <w:highlight w:val="none"/>
        </w:rPr>
        <w:t>通过矢量信号分析仪测试，即</w:t>
      </w:r>
      <w:r>
        <w:rPr>
          <w:color w:val="000000"/>
          <w:kern w:val="0"/>
          <w:sz w:val="24"/>
          <w:highlight w:val="none"/>
        </w:rPr>
        <w:t>GNSS</w:t>
      </w:r>
      <w:r>
        <w:rPr>
          <w:rFonts w:hint="eastAsia"/>
          <w:color w:val="000000"/>
          <w:kern w:val="0"/>
          <w:sz w:val="24"/>
          <w:highlight w:val="none"/>
        </w:rPr>
        <w:t>模拟器仿真产生相应卫星一个频点的射频信号，采用Q</w:t>
      </w:r>
      <w:r>
        <w:rPr>
          <w:color w:val="000000"/>
          <w:kern w:val="0"/>
          <w:sz w:val="24"/>
          <w:highlight w:val="none"/>
        </w:rPr>
        <w:t>PSK</w:t>
      </w:r>
      <w:r>
        <w:rPr>
          <w:rFonts w:hint="eastAsia"/>
          <w:color w:val="000000"/>
          <w:kern w:val="0"/>
          <w:sz w:val="24"/>
          <w:highlight w:val="none"/>
        </w:rPr>
        <w:t>调制方式，利用矢量信号分析仪的调相误差测试模式完成测试，记录正交性性数据</w:t>
      </w:r>
      <w:r>
        <w:rPr>
          <w:rFonts w:hint="eastAsia"/>
          <w:color w:val="000000"/>
          <w:sz w:val="24"/>
          <w:highlight w:val="none"/>
        </w:rPr>
        <w:t>Quar</w:t>
      </w:r>
      <w:r>
        <w:rPr>
          <w:color w:val="000000"/>
          <w:sz w:val="24"/>
          <w:highlight w:val="none"/>
        </w:rPr>
        <w:t xml:space="preserve"> Err</w:t>
      </w:r>
      <w:r>
        <w:rPr>
          <w:rFonts w:hint="eastAsia"/>
          <w:color w:val="000000"/>
          <w:kern w:val="0"/>
          <w:sz w:val="24"/>
          <w:highlight w:val="none"/>
        </w:rPr>
        <w:t>。</w:t>
      </w:r>
    </w:p>
    <w:p>
      <w:pPr>
        <w:pStyle w:val="9"/>
        <w:numPr>
          <w:ilvl w:val="0"/>
          <w:numId w:val="5"/>
        </w:numPr>
        <w:ind w:firstLineChars="0"/>
        <w:rPr>
          <w:rFonts w:hint="eastAsia"/>
          <w:sz w:val="24"/>
          <w:highlight w:val="none"/>
        </w:rPr>
      </w:pPr>
      <w:r>
        <w:rPr>
          <w:rFonts w:hint="eastAsia"/>
          <w:sz w:val="24"/>
          <w:highlight w:val="none"/>
        </w:rPr>
        <w:t>零值偏差及稳定性</w:t>
      </w:r>
    </w:p>
    <w:p>
      <w:pPr>
        <w:ind w:firstLine="484" w:firstLineChars="202"/>
        <w:rPr>
          <w:rFonts w:hint="eastAsia"/>
          <w:color w:val="000000"/>
          <w:kern w:val="0"/>
          <w:sz w:val="24"/>
          <w:highlight w:val="none"/>
        </w:rPr>
      </w:pPr>
      <w:r>
        <w:rPr>
          <w:rFonts w:hint="eastAsia"/>
          <w:color w:val="000000"/>
          <w:kern w:val="0"/>
          <w:sz w:val="24"/>
          <w:highlight w:val="none"/>
        </w:rPr>
        <w:t>零值偏差及稳定性反映了模拟器输出信号绝对零值精度及其稳定承担，此项指标直接影响的是导航终端的授时精度，经查询授时型导航终端的授时精度为30ns，RNSS单向零值稳定度为3ns，RDSS双向零值稳定度为5ns。</w:t>
      </w:r>
    </w:p>
    <w:p>
      <w:pPr>
        <w:ind w:firstLine="484" w:firstLineChars="202"/>
        <w:rPr>
          <w:color w:val="000000"/>
          <w:kern w:val="0"/>
          <w:sz w:val="24"/>
          <w:highlight w:val="none"/>
        </w:rPr>
      </w:pPr>
      <w:r>
        <w:rPr>
          <w:rFonts w:hint="eastAsia"/>
          <w:color w:val="000000"/>
          <w:kern w:val="0"/>
          <w:sz w:val="24"/>
          <w:highlight w:val="none"/>
        </w:rPr>
        <w:t>由于GNSS模拟器输出信号的绝对零值都是可以修订校准的，其修订原理同伪距控制。结合模拟器的伪距相位控制精度指标，因此本标准制定零值偏差指标为：0.05m(校准后)。</w:t>
      </w:r>
    </w:p>
    <w:p>
      <w:pPr>
        <w:ind w:firstLine="484" w:firstLineChars="202"/>
        <w:rPr>
          <w:color w:val="000000"/>
          <w:kern w:val="0"/>
          <w:sz w:val="24"/>
          <w:highlight w:val="none"/>
        </w:rPr>
      </w:pPr>
      <w:r>
        <w:rPr>
          <w:rFonts w:hint="eastAsia"/>
          <w:color w:val="000000"/>
          <w:kern w:val="0"/>
          <w:sz w:val="24"/>
          <w:highlight w:val="none"/>
        </w:rPr>
        <w:t>考虑导航终端的授时精度测试周期较长，因此本标准对零值稳定度提出了开关机稳定性和24小时稳定指标。结合零值偏差指标，本标准制定了GNSS模拟器输出信号零值开关机稳定性：≤0.05m(RMS)，24小时稳定性：≤0.1m(MAX)。</w:t>
      </w:r>
    </w:p>
    <w:p>
      <w:pPr>
        <w:pStyle w:val="4"/>
        <w:numPr>
          <w:ilvl w:val="1"/>
          <w:numId w:val="0"/>
        </w:numPr>
        <w:rPr>
          <w:sz w:val="24"/>
          <w:szCs w:val="24"/>
          <w:highlight w:val="none"/>
        </w:rPr>
      </w:pPr>
      <w:bookmarkStart w:id="45" w:name="_Toc354686019"/>
      <w:bookmarkStart w:id="46" w:name="_Toc16915"/>
      <w:bookmarkStart w:id="47" w:name="_Toc4002"/>
      <w:r>
        <w:rPr>
          <w:rFonts w:hint="eastAsia"/>
          <w:sz w:val="24"/>
          <w:szCs w:val="24"/>
          <w:highlight w:val="none"/>
          <w:lang w:val="en-US" w:eastAsia="zh-CN"/>
        </w:rPr>
        <w:t>3.2</w:t>
      </w:r>
      <w:r>
        <w:rPr>
          <w:rFonts w:hint="eastAsia"/>
          <w:sz w:val="24"/>
          <w:szCs w:val="24"/>
          <w:highlight w:val="none"/>
        </w:rPr>
        <w:t>射频信号质量类指标</w:t>
      </w:r>
      <w:bookmarkEnd w:id="45"/>
      <w:bookmarkEnd w:id="46"/>
      <w:bookmarkEnd w:id="47"/>
    </w:p>
    <w:p>
      <w:pPr>
        <w:ind w:firstLine="437"/>
        <w:rPr>
          <w:sz w:val="24"/>
          <w:highlight w:val="none"/>
        </w:rPr>
      </w:pPr>
      <w:r>
        <w:rPr>
          <w:rFonts w:hint="eastAsia"/>
          <w:sz w:val="24"/>
          <w:highlight w:val="none"/>
        </w:rPr>
        <w:t>该类指标规定了</w:t>
      </w:r>
      <w:r>
        <w:rPr>
          <w:rFonts w:hint="eastAsia"/>
          <w:sz w:val="24"/>
          <w:highlight w:val="none"/>
          <w:lang w:eastAsia="zh-CN"/>
        </w:rPr>
        <w:t>GNSS信号模拟器</w:t>
      </w:r>
      <w:r>
        <w:rPr>
          <w:rFonts w:hint="eastAsia"/>
          <w:sz w:val="24"/>
          <w:highlight w:val="none"/>
        </w:rPr>
        <w:t>输出的射频信号的质量。具体指标包括噪声、频率稳定度、谐波抑制和杂波抑制等。</w:t>
      </w:r>
    </w:p>
    <w:p>
      <w:pPr>
        <w:pStyle w:val="9"/>
        <w:numPr>
          <w:ilvl w:val="0"/>
          <w:numId w:val="6"/>
        </w:numPr>
        <w:ind w:firstLineChars="0"/>
        <w:rPr>
          <w:sz w:val="24"/>
          <w:highlight w:val="none"/>
        </w:rPr>
      </w:pPr>
      <w:r>
        <w:rPr>
          <w:rFonts w:hint="eastAsia"/>
          <w:sz w:val="24"/>
          <w:highlight w:val="none"/>
        </w:rPr>
        <w:t>相位噪声</w:t>
      </w:r>
    </w:p>
    <w:p>
      <w:pPr>
        <w:ind w:firstLine="437"/>
        <w:rPr>
          <w:rFonts w:hint="eastAsia"/>
          <w:color w:val="auto"/>
          <w:sz w:val="24"/>
          <w:highlight w:val="none"/>
        </w:rPr>
      </w:pPr>
      <w:r>
        <w:rPr>
          <w:rFonts w:hint="eastAsia"/>
          <w:sz w:val="24"/>
          <w:highlight w:val="none"/>
        </w:rPr>
        <w:t>相位噪声是指频率信号中由频率源内部噪声调制（调相或调频）产生的随机相位起伏。由频率与相位的关系可知，相位噪声必然使得输出频率存在随机的瞬时抖动，相位噪声越大，频率的瞬时抖动就越大。相位噪声可以用于表征振荡器短期频率稳定度。从频域来看，相位噪声对输出频率产生了调频，使得输出频谱不是单一谱线，而是在中心谱线两侧有一个噪声谱的边带。噪声边带能量越大，意味着相位噪声越大，短期频率稳定度越低。因此，射频输出频谱主峰两侧的噪声功率谱密度分布反映了基带上相位噪声的大小。相位噪声通常定义为在某一给定偏移频率处的dBc/Hz值。标准中本项指标参照我国北斗卫星导航系统ICD中关于卫星下发信号特性的载波相位噪声指标，</w:t>
      </w:r>
      <w:r>
        <w:rPr>
          <w:rFonts w:hint="eastAsia"/>
          <w:color w:val="auto"/>
          <w:sz w:val="24"/>
          <w:highlight w:val="none"/>
          <w:lang w:eastAsia="zh-CN"/>
        </w:rPr>
        <w:t>如表</w:t>
      </w:r>
      <w:r>
        <w:rPr>
          <w:rFonts w:hint="eastAsia"/>
          <w:color w:val="auto"/>
          <w:sz w:val="24"/>
          <w:highlight w:val="none"/>
          <w:lang w:val="en-US" w:eastAsia="zh-CN"/>
        </w:rPr>
        <w:t>1所示</w:t>
      </w:r>
      <w:r>
        <w:rPr>
          <w:rFonts w:hint="eastAsia"/>
          <w:color w:val="auto"/>
          <w:sz w:val="24"/>
          <w:highlight w:val="none"/>
        </w:rPr>
        <w:t>：</w:t>
      </w:r>
    </w:p>
    <w:p>
      <w:pPr>
        <w:ind w:firstLine="437"/>
        <w:jc w:val="center"/>
        <w:rPr>
          <w:rFonts w:hint="eastAsia" w:eastAsia="宋体"/>
          <w:color w:val="auto"/>
          <w:sz w:val="21"/>
          <w:szCs w:val="21"/>
          <w:highlight w:val="none"/>
          <w:lang w:val="en-US" w:eastAsia="zh-CN"/>
        </w:rPr>
      </w:pPr>
      <w:r>
        <w:rPr>
          <w:rFonts w:hint="eastAsia"/>
          <w:color w:val="auto"/>
          <w:sz w:val="21"/>
          <w:szCs w:val="21"/>
          <w:highlight w:val="none"/>
          <w:lang w:eastAsia="zh-CN"/>
        </w:rPr>
        <w:t>表</w:t>
      </w:r>
      <w:r>
        <w:rPr>
          <w:rFonts w:hint="eastAsia"/>
          <w:color w:val="auto"/>
          <w:sz w:val="21"/>
          <w:szCs w:val="21"/>
          <w:highlight w:val="none"/>
          <w:lang w:val="en-US" w:eastAsia="zh-CN"/>
        </w:rPr>
        <w:t>1  相位噪声指标要求</w:t>
      </w:r>
    </w:p>
    <w:tbl>
      <w:tblPr>
        <w:tblStyle w:val="7"/>
        <w:tblW w:w="5329" w:type="dxa"/>
        <w:tblInd w:w="138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26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707" w:type="dxa"/>
            <w:tcBorders>
              <w:top w:val="single" w:color="auto" w:sz="12" w:space="0"/>
              <w:left w:val="single" w:color="auto" w:sz="12" w:space="0"/>
              <w:bottom w:val="single" w:color="auto" w:sz="8" w:space="0"/>
            </w:tcBorders>
            <w:vAlign w:val="top"/>
          </w:tcPr>
          <w:p>
            <w:pPr>
              <w:pStyle w:val="12"/>
              <w:keepNext w:val="0"/>
              <w:keepLines w:val="0"/>
              <w:pageBreakBefore w:val="0"/>
              <w:widowControl/>
              <w:kinsoku/>
              <w:wordWrap/>
              <w:overflowPunct/>
              <w:topLinePunct w:val="0"/>
              <w:autoSpaceDE w:val="0"/>
              <w:autoSpaceDN w:val="0"/>
              <w:bidi w:val="0"/>
              <w:adjustRightInd/>
              <w:snapToGrid/>
              <w:spacing w:line="240" w:lineRule="atLeast"/>
              <w:ind w:firstLine="0" w:firstLineChars="0"/>
              <w:jc w:val="center"/>
              <w:textAlignment w:val="auto"/>
              <w:outlineLvl w:val="9"/>
              <w:rPr>
                <w:rFonts w:hAnsi="宋体"/>
                <w:color w:val="auto"/>
                <w:sz w:val="18"/>
                <w:szCs w:val="18"/>
              </w:rPr>
            </w:pPr>
            <w:r>
              <w:rPr>
                <w:rFonts w:hAnsi="宋体"/>
                <w:color w:val="auto"/>
                <w:sz w:val="18"/>
                <w:szCs w:val="18"/>
              </w:rPr>
              <w:t>偏移中心频率</w:t>
            </w:r>
            <w:r>
              <w:rPr>
                <w:rFonts w:hint="eastAsia" w:hAnsi="宋体"/>
                <w:color w:val="auto"/>
                <w:sz w:val="18"/>
                <w:szCs w:val="18"/>
                <w:lang w:eastAsia="zh-CN"/>
              </w:rPr>
              <w:t>（</w:t>
            </w:r>
            <w:r>
              <w:rPr>
                <w:rFonts w:hAnsi="宋体"/>
                <w:color w:val="auto"/>
                <w:sz w:val="18"/>
                <w:szCs w:val="18"/>
              </w:rPr>
              <w:t>Hz</w:t>
            </w:r>
            <w:r>
              <w:rPr>
                <w:rFonts w:hint="eastAsia" w:hAnsi="宋体"/>
                <w:color w:val="auto"/>
                <w:sz w:val="18"/>
                <w:szCs w:val="18"/>
                <w:lang w:eastAsia="zh-CN"/>
              </w:rPr>
              <w:t>）</w:t>
            </w:r>
          </w:p>
        </w:tc>
        <w:tc>
          <w:tcPr>
            <w:tcW w:w="2622" w:type="dxa"/>
            <w:tcBorders>
              <w:top w:val="single" w:color="auto" w:sz="12" w:space="0"/>
              <w:bottom w:val="single" w:color="auto" w:sz="8" w:space="0"/>
              <w:right w:val="single" w:color="auto" w:sz="12" w:space="0"/>
            </w:tcBorders>
            <w:vAlign w:val="top"/>
          </w:tcPr>
          <w:p>
            <w:pPr>
              <w:pStyle w:val="12"/>
              <w:keepNext w:val="0"/>
              <w:keepLines w:val="0"/>
              <w:pageBreakBefore w:val="0"/>
              <w:widowControl/>
              <w:kinsoku/>
              <w:wordWrap/>
              <w:overflowPunct/>
              <w:topLinePunct w:val="0"/>
              <w:autoSpaceDE w:val="0"/>
              <w:autoSpaceDN w:val="0"/>
              <w:bidi w:val="0"/>
              <w:adjustRightInd/>
              <w:snapToGrid/>
              <w:spacing w:line="240" w:lineRule="atLeast"/>
              <w:ind w:firstLine="0" w:firstLineChars="0"/>
              <w:jc w:val="center"/>
              <w:textAlignment w:val="auto"/>
              <w:outlineLvl w:val="9"/>
              <w:rPr>
                <w:rFonts w:hint="eastAsia" w:hAnsi="宋体"/>
                <w:color w:val="auto"/>
                <w:sz w:val="18"/>
                <w:szCs w:val="18"/>
                <w:lang w:eastAsia="zh-CN"/>
              </w:rPr>
            </w:pPr>
            <w:r>
              <w:rPr>
                <w:rFonts w:hAnsi="宋体"/>
                <w:color w:val="auto"/>
                <w:sz w:val="18"/>
                <w:szCs w:val="18"/>
              </w:rPr>
              <w:t>相位噪声</w:t>
            </w:r>
            <w:r>
              <w:rPr>
                <w:rFonts w:hint="eastAsia" w:hAnsi="宋体"/>
                <w:color w:val="auto"/>
                <w:sz w:val="18"/>
                <w:szCs w:val="18"/>
                <w:lang w:eastAsia="zh-CN"/>
              </w:rPr>
              <w:t>（</w:t>
            </w:r>
            <w:r>
              <w:rPr>
                <w:rFonts w:hAnsi="宋体"/>
                <w:color w:val="auto"/>
                <w:sz w:val="18"/>
                <w:szCs w:val="18"/>
              </w:rPr>
              <w:t>dBc/Hz</w:t>
            </w:r>
            <w:r>
              <w:rPr>
                <w:rFonts w:hint="eastAsia" w:hAnsi="宋体"/>
                <w:color w:val="auto"/>
                <w:sz w:val="18"/>
                <w:szCs w:val="18"/>
                <w:lang w:eastAsia="zh-CN"/>
              </w:rPr>
              <w:t>）</w:t>
            </w:r>
          </w:p>
          <w:p>
            <w:pPr>
              <w:pStyle w:val="12"/>
              <w:keepNext w:val="0"/>
              <w:keepLines w:val="0"/>
              <w:pageBreakBefore w:val="0"/>
              <w:widowControl/>
              <w:kinsoku/>
              <w:wordWrap/>
              <w:overflowPunct/>
              <w:topLinePunct w:val="0"/>
              <w:autoSpaceDE w:val="0"/>
              <w:autoSpaceDN w:val="0"/>
              <w:bidi w:val="0"/>
              <w:adjustRightInd/>
              <w:snapToGrid/>
              <w:spacing w:line="240" w:lineRule="atLeast"/>
              <w:ind w:firstLine="0" w:firstLineChars="0"/>
              <w:jc w:val="center"/>
              <w:textAlignment w:val="auto"/>
              <w:outlineLvl w:val="9"/>
              <w:rPr>
                <w:rFonts w:hAnsi="宋体"/>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2707" w:type="dxa"/>
            <w:tcBorders>
              <w:top w:val="single" w:color="auto" w:sz="8" w:space="0"/>
              <w:left w:val="single" w:color="auto" w:sz="12" w:space="0"/>
            </w:tcBorders>
            <w:vAlign w:val="top"/>
          </w:tcPr>
          <w:p>
            <w:pPr>
              <w:pStyle w:val="12"/>
              <w:ind w:firstLine="0" w:firstLineChars="0"/>
              <w:jc w:val="center"/>
              <w:rPr>
                <w:rFonts w:hAnsi="宋体"/>
                <w:color w:val="auto"/>
                <w:sz w:val="18"/>
                <w:szCs w:val="18"/>
              </w:rPr>
            </w:pPr>
            <w:r>
              <w:rPr>
                <w:rFonts w:hAnsi="宋体"/>
                <w:color w:val="auto"/>
                <w:sz w:val="18"/>
                <w:szCs w:val="18"/>
              </w:rPr>
              <w:t>10</w:t>
            </w:r>
          </w:p>
        </w:tc>
        <w:tc>
          <w:tcPr>
            <w:tcW w:w="2622" w:type="dxa"/>
            <w:tcBorders>
              <w:top w:val="single" w:color="auto" w:sz="8" w:space="0"/>
              <w:right w:val="single" w:color="auto" w:sz="12" w:space="0"/>
            </w:tcBorders>
            <w:vAlign w:val="top"/>
          </w:tcPr>
          <w:p>
            <w:pPr>
              <w:pStyle w:val="12"/>
              <w:ind w:firstLine="0" w:firstLineChars="0"/>
              <w:jc w:val="center"/>
              <w:rPr>
                <w:rFonts w:hAnsi="宋体"/>
                <w:color w:val="auto"/>
                <w:sz w:val="18"/>
                <w:szCs w:val="18"/>
              </w:rPr>
            </w:pPr>
            <w:r>
              <w:rPr>
                <w:rFonts w:hAnsi="宋体"/>
                <w:color w:val="auto"/>
                <w:sz w:val="18"/>
                <w:szCs w:val="18"/>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2707" w:type="dxa"/>
            <w:tcBorders>
              <w:left w:val="single" w:color="auto" w:sz="12" w:space="0"/>
              <w:bottom w:val="single" w:color="auto" w:sz="4" w:space="0"/>
            </w:tcBorders>
            <w:vAlign w:val="top"/>
          </w:tcPr>
          <w:p>
            <w:pPr>
              <w:pStyle w:val="12"/>
              <w:ind w:firstLine="0" w:firstLineChars="0"/>
              <w:jc w:val="center"/>
              <w:rPr>
                <w:rFonts w:hAnsi="宋体"/>
                <w:color w:val="auto"/>
                <w:sz w:val="18"/>
                <w:szCs w:val="18"/>
              </w:rPr>
            </w:pPr>
            <w:r>
              <w:rPr>
                <w:rFonts w:hAnsi="宋体"/>
                <w:color w:val="auto"/>
                <w:sz w:val="18"/>
                <w:szCs w:val="18"/>
              </w:rPr>
              <w:t>100</w:t>
            </w:r>
          </w:p>
        </w:tc>
        <w:tc>
          <w:tcPr>
            <w:tcW w:w="2622" w:type="dxa"/>
            <w:tcBorders>
              <w:bottom w:val="single" w:color="auto" w:sz="4" w:space="0"/>
              <w:right w:val="single" w:color="auto" w:sz="12" w:space="0"/>
            </w:tcBorders>
            <w:vAlign w:val="top"/>
          </w:tcPr>
          <w:p>
            <w:pPr>
              <w:pStyle w:val="12"/>
              <w:ind w:firstLine="0" w:firstLineChars="0"/>
              <w:jc w:val="center"/>
              <w:rPr>
                <w:rFonts w:hAnsi="宋体"/>
                <w:color w:val="auto"/>
                <w:sz w:val="18"/>
                <w:szCs w:val="18"/>
              </w:rPr>
            </w:pPr>
            <w:r>
              <w:rPr>
                <w:rFonts w:hAnsi="宋体"/>
                <w:color w:val="auto"/>
                <w:sz w:val="18"/>
                <w:szCs w:val="18"/>
              </w:rPr>
              <w:t>－75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2707" w:type="dxa"/>
            <w:tcBorders>
              <w:top w:val="single" w:color="auto" w:sz="4" w:space="0"/>
              <w:left w:val="single" w:color="auto" w:sz="12" w:space="0"/>
              <w:bottom w:val="single" w:color="auto" w:sz="4" w:space="0"/>
            </w:tcBorders>
            <w:vAlign w:val="top"/>
          </w:tcPr>
          <w:p>
            <w:pPr>
              <w:pStyle w:val="12"/>
              <w:ind w:firstLine="0" w:firstLineChars="0"/>
              <w:jc w:val="center"/>
              <w:rPr>
                <w:rFonts w:hAnsi="宋体"/>
                <w:color w:val="auto"/>
                <w:sz w:val="18"/>
                <w:szCs w:val="18"/>
              </w:rPr>
            </w:pPr>
            <w:r>
              <w:rPr>
                <w:rFonts w:hAnsi="宋体"/>
                <w:color w:val="auto"/>
                <w:sz w:val="18"/>
                <w:szCs w:val="18"/>
              </w:rPr>
              <w:t>1K</w:t>
            </w:r>
          </w:p>
        </w:tc>
        <w:tc>
          <w:tcPr>
            <w:tcW w:w="2622" w:type="dxa"/>
            <w:tcBorders>
              <w:top w:val="single" w:color="auto" w:sz="4" w:space="0"/>
              <w:bottom w:val="single" w:color="auto" w:sz="4" w:space="0"/>
              <w:right w:val="single" w:color="auto" w:sz="12" w:space="0"/>
            </w:tcBorders>
            <w:vAlign w:val="top"/>
          </w:tcPr>
          <w:p>
            <w:pPr>
              <w:pStyle w:val="12"/>
              <w:ind w:firstLine="0" w:firstLineChars="0"/>
              <w:jc w:val="center"/>
              <w:rPr>
                <w:rFonts w:hAnsi="宋体"/>
                <w:color w:val="auto"/>
                <w:sz w:val="18"/>
                <w:szCs w:val="18"/>
              </w:rPr>
            </w:pPr>
            <w:r>
              <w:rPr>
                <w:rFonts w:hAnsi="宋体"/>
                <w:color w:val="auto"/>
                <w:sz w:val="18"/>
                <w:szCs w:val="18"/>
              </w:rPr>
              <w:t>－80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2707" w:type="dxa"/>
            <w:tcBorders>
              <w:top w:val="single" w:color="auto" w:sz="4" w:space="0"/>
              <w:left w:val="single" w:color="auto" w:sz="12" w:space="0"/>
              <w:bottom w:val="single" w:color="auto" w:sz="4" w:space="0"/>
            </w:tcBorders>
            <w:vAlign w:val="top"/>
          </w:tcPr>
          <w:p>
            <w:pPr>
              <w:pStyle w:val="12"/>
              <w:ind w:firstLine="0" w:firstLineChars="0"/>
              <w:jc w:val="center"/>
              <w:rPr>
                <w:rFonts w:hAnsi="宋体"/>
                <w:color w:val="auto"/>
                <w:sz w:val="18"/>
                <w:szCs w:val="18"/>
              </w:rPr>
            </w:pPr>
            <w:r>
              <w:rPr>
                <w:rFonts w:hAnsi="宋体"/>
                <w:color w:val="auto"/>
                <w:sz w:val="18"/>
                <w:szCs w:val="18"/>
              </w:rPr>
              <w:t>10k</w:t>
            </w:r>
          </w:p>
        </w:tc>
        <w:tc>
          <w:tcPr>
            <w:tcW w:w="2622" w:type="dxa"/>
            <w:tcBorders>
              <w:top w:val="single" w:color="auto" w:sz="4" w:space="0"/>
              <w:bottom w:val="single" w:color="auto" w:sz="4" w:space="0"/>
              <w:right w:val="single" w:color="auto" w:sz="12" w:space="0"/>
            </w:tcBorders>
            <w:vAlign w:val="top"/>
          </w:tcPr>
          <w:p>
            <w:pPr>
              <w:pStyle w:val="12"/>
              <w:ind w:firstLine="0" w:firstLineChars="0"/>
              <w:jc w:val="center"/>
              <w:rPr>
                <w:rFonts w:hAnsi="宋体"/>
                <w:color w:val="auto"/>
                <w:sz w:val="18"/>
                <w:szCs w:val="18"/>
              </w:rPr>
            </w:pPr>
            <w:r>
              <w:rPr>
                <w:rFonts w:hAnsi="宋体"/>
                <w:color w:val="auto"/>
                <w:sz w:val="18"/>
                <w:szCs w:val="18"/>
              </w:rPr>
              <w:t>－85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trPr>
        <w:tc>
          <w:tcPr>
            <w:tcW w:w="2707" w:type="dxa"/>
            <w:tcBorders>
              <w:top w:val="single" w:color="auto" w:sz="4" w:space="0"/>
              <w:left w:val="single" w:color="auto" w:sz="12" w:space="0"/>
              <w:bottom w:val="single" w:color="auto" w:sz="12" w:space="0"/>
            </w:tcBorders>
            <w:vAlign w:val="top"/>
          </w:tcPr>
          <w:p>
            <w:pPr>
              <w:pStyle w:val="12"/>
              <w:ind w:firstLine="0" w:firstLineChars="0"/>
              <w:jc w:val="center"/>
              <w:rPr>
                <w:rFonts w:hAnsi="宋体"/>
                <w:color w:val="auto"/>
                <w:sz w:val="18"/>
                <w:szCs w:val="18"/>
              </w:rPr>
            </w:pPr>
            <w:r>
              <w:rPr>
                <w:rFonts w:hAnsi="宋体"/>
                <w:color w:val="auto"/>
                <w:sz w:val="18"/>
                <w:szCs w:val="18"/>
              </w:rPr>
              <w:t>100k</w:t>
            </w:r>
          </w:p>
        </w:tc>
        <w:tc>
          <w:tcPr>
            <w:tcW w:w="2622" w:type="dxa"/>
            <w:tcBorders>
              <w:top w:val="single" w:color="auto" w:sz="4" w:space="0"/>
              <w:bottom w:val="single" w:color="auto" w:sz="12" w:space="0"/>
              <w:right w:val="single" w:color="auto" w:sz="12" w:space="0"/>
            </w:tcBorders>
            <w:vAlign w:val="top"/>
          </w:tcPr>
          <w:p>
            <w:pPr>
              <w:pStyle w:val="12"/>
              <w:ind w:firstLine="0" w:firstLineChars="0"/>
              <w:jc w:val="center"/>
              <w:rPr>
                <w:rFonts w:hAnsi="宋体"/>
                <w:color w:val="auto"/>
                <w:sz w:val="18"/>
                <w:szCs w:val="18"/>
              </w:rPr>
            </w:pPr>
            <w:r>
              <w:rPr>
                <w:rFonts w:hAnsi="宋体"/>
                <w:color w:val="auto"/>
                <w:sz w:val="18"/>
                <w:szCs w:val="18"/>
              </w:rPr>
              <w:t>－95</w:t>
            </w:r>
          </w:p>
        </w:tc>
      </w:tr>
    </w:tbl>
    <w:p>
      <w:pPr>
        <w:pStyle w:val="9"/>
        <w:numPr>
          <w:ilvl w:val="0"/>
          <w:numId w:val="6"/>
        </w:numPr>
        <w:ind w:firstLineChars="0"/>
        <w:rPr>
          <w:sz w:val="24"/>
          <w:highlight w:val="none"/>
        </w:rPr>
      </w:pPr>
      <w:r>
        <w:rPr>
          <w:rFonts w:hint="eastAsia"/>
          <w:sz w:val="24"/>
          <w:highlight w:val="none"/>
        </w:rPr>
        <w:t>频率稳定度</w:t>
      </w:r>
    </w:p>
    <w:p>
      <w:pPr>
        <w:ind w:firstLine="437"/>
        <w:rPr>
          <w:rFonts w:ascii="宋体" w:hAnsi="宋体"/>
          <w:sz w:val="24"/>
          <w:highlight w:val="none"/>
        </w:rPr>
      </w:pPr>
      <w:r>
        <w:rPr>
          <w:rFonts w:hint="eastAsia"/>
          <w:sz w:val="24"/>
          <w:highlight w:val="none"/>
        </w:rPr>
        <w:t>频率稳定度用于表征频率源输出频率值的随机起伏特性。前述相位噪声指标可以用于短期频率稳定度。而此处的频率稳定度主要是指长期稳定度。通常指日、月或年为单位。参考国内外主流模拟器产品，确定该指标为秒稳</w:t>
      </w:r>
      <w:r>
        <w:rPr>
          <w:rFonts w:hint="eastAsia" w:ascii="宋体" w:hAnsi="宋体"/>
          <w:sz w:val="24"/>
          <w:highlight w:val="none"/>
        </w:rPr>
        <w:t>≤±5×10</w:t>
      </w:r>
      <w:r>
        <w:rPr>
          <w:rFonts w:hint="eastAsia" w:ascii="宋体" w:hAnsi="宋体"/>
          <w:sz w:val="24"/>
          <w:highlight w:val="none"/>
          <w:vertAlign w:val="superscript"/>
        </w:rPr>
        <w:t>-11</w:t>
      </w:r>
      <w:r>
        <w:rPr>
          <w:rFonts w:hint="eastAsia" w:ascii="宋体" w:hAnsi="宋体"/>
          <w:sz w:val="24"/>
          <w:highlight w:val="none"/>
        </w:rPr>
        <w:t>/秒。</w:t>
      </w:r>
    </w:p>
    <w:p>
      <w:pPr>
        <w:pStyle w:val="9"/>
        <w:numPr>
          <w:ilvl w:val="0"/>
          <w:numId w:val="6"/>
        </w:numPr>
        <w:ind w:firstLineChars="0"/>
        <w:rPr>
          <w:sz w:val="24"/>
          <w:highlight w:val="none"/>
        </w:rPr>
      </w:pPr>
      <w:r>
        <w:rPr>
          <w:rFonts w:hint="eastAsia"/>
          <w:sz w:val="24"/>
          <w:highlight w:val="none"/>
        </w:rPr>
        <w:t>谐波抑制</w:t>
      </w:r>
    </w:p>
    <w:p>
      <w:pPr>
        <w:ind w:firstLine="437"/>
        <w:rPr>
          <w:sz w:val="24"/>
          <w:highlight w:val="none"/>
        </w:rPr>
      </w:pPr>
      <w:r>
        <w:rPr>
          <w:rFonts w:hint="eastAsia"/>
          <w:sz w:val="24"/>
          <w:highlight w:val="none"/>
        </w:rPr>
        <w:t>谐波抑制用于表征信号发生器对输出设射频信号中的各次谐波分量的抑制程度。以GPS L1信号为例，设置信号源输出L1频点的单载波信号，测量2次谐波频率处信号功率相对于L1频点处功率的比值，以</w:t>
      </w:r>
      <w:r>
        <w:rPr>
          <w:sz w:val="24"/>
          <w:highlight w:val="none"/>
        </w:rPr>
        <w:t>dBc</w:t>
      </w:r>
      <w:r>
        <w:rPr>
          <w:rFonts w:hint="eastAsia"/>
          <w:sz w:val="24"/>
          <w:highlight w:val="none"/>
        </w:rPr>
        <w:t>为单位。由于各次谐波分量处于接收机接收带宽之外，对接收机性能测试的影响较小。参考国内外主流模拟器产品谐波抑制指标要求和工程测试经验总结，确定该指标优于40</w:t>
      </w:r>
      <w:r>
        <w:rPr>
          <w:sz w:val="24"/>
          <w:highlight w:val="none"/>
        </w:rPr>
        <w:t>dBc</w:t>
      </w:r>
      <w:r>
        <w:rPr>
          <w:rFonts w:hint="eastAsia"/>
          <w:sz w:val="24"/>
          <w:highlight w:val="none"/>
        </w:rPr>
        <w:t>。</w:t>
      </w:r>
    </w:p>
    <w:p>
      <w:pPr>
        <w:pStyle w:val="9"/>
        <w:numPr>
          <w:ilvl w:val="0"/>
          <w:numId w:val="6"/>
        </w:numPr>
        <w:ind w:firstLineChars="0"/>
        <w:rPr>
          <w:sz w:val="24"/>
          <w:highlight w:val="none"/>
        </w:rPr>
      </w:pPr>
      <w:r>
        <w:rPr>
          <w:rFonts w:hint="eastAsia"/>
          <w:sz w:val="24"/>
          <w:highlight w:val="none"/>
        </w:rPr>
        <w:t>杂波抑制</w:t>
      </w:r>
    </w:p>
    <w:p>
      <w:pPr>
        <w:ind w:firstLine="437"/>
        <w:rPr>
          <w:sz w:val="24"/>
          <w:highlight w:val="none"/>
        </w:rPr>
      </w:pPr>
      <w:r>
        <w:rPr>
          <w:rFonts w:hint="eastAsia"/>
          <w:sz w:val="24"/>
          <w:highlight w:val="none"/>
        </w:rPr>
        <w:t>杂波抑制用于表征对输出射频信号中信号带宽内的杂散信号的抑制程度。同样以GPS L1信号为例，设置信号源输出L1频点的单载波信号，测量以L1频点为中心40MHz带宽内最大杂散频率处的功率相对于L1频点处功率的比值，以</w:t>
      </w:r>
      <w:r>
        <w:rPr>
          <w:sz w:val="24"/>
          <w:highlight w:val="none"/>
        </w:rPr>
        <w:t>dBc</w:t>
      </w:r>
      <w:r>
        <w:rPr>
          <w:rFonts w:hint="eastAsia"/>
          <w:sz w:val="24"/>
          <w:highlight w:val="none"/>
        </w:rPr>
        <w:t>为单位。因为杂波落在信号带宽之内，因而对杂波抑制的要求要高于谐波抑制。标准中本项指标参照我国北斗卫星导航系统ICD中关于卫星下发信号杂散特性指标制定为：50</w:t>
      </w:r>
      <w:r>
        <w:rPr>
          <w:sz w:val="24"/>
          <w:highlight w:val="none"/>
        </w:rPr>
        <w:t>dBc</w:t>
      </w:r>
      <w:r>
        <w:rPr>
          <w:rFonts w:hint="eastAsia"/>
          <w:sz w:val="24"/>
          <w:highlight w:val="none"/>
        </w:rPr>
        <w:t>。</w:t>
      </w:r>
    </w:p>
    <w:p>
      <w:pPr>
        <w:pStyle w:val="4"/>
        <w:numPr>
          <w:ilvl w:val="1"/>
          <w:numId w:val="0"/>
        </w:numPr>
        <w:rPr>
          <w:sz w:val="24"/>
          <w:szCs w:val="24"/>
          <w:highlight w:val="none"/>
        </w:rPr>
      </w:pPr>
      <w:bookmarkStart w:id="48" w:name="_Toc354686020"/>
      <w:bookmarkStart w:id="49" w:name="_Toc14349"/>
      <w:bookmarkStart w:id="50" w:name="_Toc10859"/>
      <w:r>
        <w:rPr>
          <w:rFonts w:hint="eastAsia"/>
          <w:sz w:val="24"/>
          <w:szCs w:val="24"/>
          <w:highlight w:val="none"/>
          <w:lang w:val="en-US" w:eastAsia="zh-CN"/>
        </w:rPr>
        <w:t>3.3</w:t>
      </w:r>
      <w:r>
        <w:rPr>
          <w:rFonts w:hint="eastAsia"/>
          <w:sz w:val="24"/>
          <w:szCs w:val="24"/>
          <w:highlight w:val="none"/>
        </w:rPr>
        <w:t>输出信号功率控制类</w:t>
      </w:r>
      <w:bookmarkEnd w:id="48"/>
      <w:bookmarkEnd w:id="49"/>
      <w:bookmarkEnd w:id="50"/>
    </w:p>
    <w:p>
      <w:pPr>
        <w:pStyle w:val="9"/>
        <w:numPr>
          <w:ilvl w:val="0"/>
          <w:numId w:val="7"/>
        </w:numPr>
        <w:ind w:firstLineChars="0"/>
        <w:rPr>
          <w:sz w:val="24"/>
          <w:highlight w:val="none"/>
        </w:rPr>
      </w:pPr>
      <w:r>
        <w:rPr>
          <w:rFonts w:hint="eastAsia"/>
          <w:sz w:val="24"/>
          <w:highlight w:val="none"/>
        </w:rPr>
        <w:t>功率分辨率</w:t>
      </w:r>
    </w:p>
    <w:p>
      <w:pPr>
        <w:ind w:firstLine="437"/>
        <w:rPr>
          <w:sz w:val="24"/>
          <w:highlight w:val="none"/>
        </w:rPr>
      </w:pPr>
      <w:r>
        <w:rPr>
          <w:rFonts w:hint="eastAsia"/>
          <w:sz w:val="24"/>
          <w:highlight w:val="none"/>
        </w:rPr>
        <w:t>功率分辨率是指在功率控制范围内进行功率调整的最小步长。能够以更精细的步长来调整信号的功率可以用于模拟复杂的应用场景。例如，用于模拟从地下车库中缓慢驶出的汽车安装的接受机接受的信号功率的变化。接受机能够准确测量的载噪比变化在0.5dB左右，因而确定该指标要求为优于0.2dB。</w:t>
      </w:r>
    </w:p>
    <w:p>
      <w:pPr>
        <w:pStyle w:val="9"/>
        <w:numPr>
          <w:ilvl w:val="0"/>
          <w:numId w:val="7"/>
        </w:numPr>
        <w:ind w:firstLineChars="0"/>
        <w:rPr>
          <w:sz w:val="24"/>
          <w:highlight w:val="none"/>
        </w:rPr>
      </w:pPr>
      <w:r>
        <w:rPr>
          <w:rFonts w:hint="eastAsia"/>
          <w:sz w:val="24"/>
          <w:highlight w:val="none"/>
        </w:rPr>
        <w:t>线性度</w:t>
      </w:r>
    </w:p>
    <w:p>
      <w:pPr>
        <w:ind w:firstLine="437"/>
        <w:rPr>
          <w:sz w:val="24"/>
          <w:highlight w:val="none"/>
        </w:rPr>
      </w:pPr>
      <w:r>
        <w:rPr>
          <w:rFonts w:hint="eastAsia"/>
          <w:sz w:val="24"/>
          <w:highlight w:val="none"/>
        </w:rPr>
        <w:t>分辨率决定了进行功率调整的最小步长，而线性度用于表征功率调整的精度：即如果设置功率调整1dB，实际的功率调整值相对于设置调整值的误差。在功率控制范围的低端，线性度较难保证。参考国内外模拟器的技术指标和工程测试经验，确定该指标如下：＜0.20 dB（模拟器功率控制范围内）。</w:t>
      </w:r>
    </w:p>
    <w:p>
      <w:pPr>
        <w:pStyle w:val="9"/>
        <w:numPr>
          <w:ilvl w:val="0"/>
          <w:numId w:val="7"/>
        </w:numPr>
        <w:ind w:firstLineChars="0"/>
        <w:rPr>
          <w:sz w:val="24"/>
          <w:highlight w:val="none"/>
        </w:rPr>
      </w:pPr>
      <w:r>
        <w:rPr>
          <w:rFonts w:hint="eastAsia"/>
          <w:sz w:val="24"/>
          <w:highlight w:val="none"/>
        </w:rPr>
        <w:t>功率绝对精度</w:t>
      </w:r>
    </w:p>
    <w:p>
      <w:pPr>
        <w:ind w:firstLine="437"/>
        <w:rPr>
          <w:sz w:val="24"/>
          <w:highlight w:val="none"/>
        </w:rPr>
      </w:pPr>
      <w:r>
        <w:rPr>
          <w:rFonts w:hint="eastAsia"/>
          <w:sz w:val="24"/>
          <w:highlight w:val="none"/>
        </w:rPr>
        <w:t>功率绝对精度是指模拟器生成信号的功率与所设定的信号功率之间的误差值。在对接受机的各项灵敏度指标进行测试时，希望能够更准确得多设置信号功率。参考国内外模拟器的技术指标和工程测试经验，确定该指标为优于±0.5dB。</w:t>
      </w:r>
    </w:p>
    <w:p>
      <w:pPr>
        <w:pStyle w:val="9"/>
        <w:numPr>
          <w:ilvl w:val="0"/>
          <w:numId w:val="7"/>
        </w:numPr>
        <w:ind w:firstLineChars="0"/>
        <w:rPr>
          <w:sz w:val="24"/>
          <w:highlight w:val="none"/>
        </w:rPr>
      </w:pPr>
      <w:r>
        <w:rPr>
          <w:rFonts w:hint="eastAsia"/>
          <w:sz w:val="24"/>
          <w:highlight w:val="none"/>
        </w:rPr>
        <w:t>功率重复精度</w:t>
      </w:r>
    </w:p>
    <w:p>
      <w:pPr>
        <w:ind w:firstLine="437"/>
        <w:rPr>
          <w:sz w:val="24"/>
          <w:highlight w:val="none"/>
        </w:rPr>
      </w:pPr>
      <w:r>
        <w:rPr>
          <w:rFonts w:hint="eastAsia"/>
          <w:sz w:val="24"/>
          <w:highlight w:val="none"/>
        </w:rPr>
        <w:t>功率重复精度是指在相同环境条件和仿真场景设置下，以模拟器连续多次仿真运行输出的信号功率之间的误差值。在接受机性能比较性测试中，要求能够保证每次仿真运行输出的信号功率是稳定的。该指标应优于功率绝对精度。参考国内外模拟器得多技术指标，确定该指标为优于±0.2dB。</w:t>
      </w:r>
    </w:p>
    <w:p>
      <w:pPr>
        <w:pStyle w:val="2"/>
        <w:rPr>
          <w:rFonts w:hint="eastAsia"/>
          <w:sz w:val="24"/>
          <w:szCs w:val="24"/>
          <w:highlight w:val="none"/>
          <w:lang w:val="en-US" w:eastAsia="zh-CN"/>
        </w:rPr>
      </w:pPr>
      <w:bookmarkStart w:id="51" w:name="_Toc20429"/>
      <w:bookmarkStart w:id="52" w:name="_Toc3975"/>
      <w:r>
        <w:rPr>
          <w:rFonts w:hint="eastAsia"/>
          <w:sz w:val="24"/>
          <w:szCs w:val="24"/>
          <w:highlight w:val="none"/>
          <w:lang w:val="en-US" w:eastAsia="zh-CN"/>
        </w:rPr>
        <w:t>采用国际标准和国外先进标准情况</w:t>
      </w:r>
      <w:bookmarkEnd w:id="51"/>
      <w:bookmarkEnd w:id="52"/>
    </w:p>
    <w:p>
      <w:pPr>
        <w:pStyle w:val="3"/>
        <w:rPr>
          <w:rFonts w:hint="eastAsia"/>
          <w:b/>
          <w:sz w:val="24"/>
          <w:szCs w:val="21"/>
          <w:highlight w:val="none"/>
          <w:lang w:val="en-US" w:eastAsia="zh-CN"/>
        </w:rPr>
      </w:pPr>
      <w:bookmarkStart w:id="53" w:name="_Toc354686008"/>
      <w:bookmarkStart w:id="54" w:name="_Toc14005"/>
      <w:bookmarkStart w:id="55" w:name="_Toc31547"/>
      <w:r>
        <w:rPr>
          <w:rFonts w:hint="eastAsia"/>
          <w:b/>
          <w:sz w:val="24"/>
          <w:szCs w:val="21"/>
          <w:highlight w:val="none"/>
          <w:lang w:val="en-US" w:eastAsia="zh-CN"/>
        </w:rPr>
        <w:t>4.1国际标准情况</w:t>
      </w:r>
      <w:bookmarkEnd w:id="53"/>
      <w:bookmarkEnd w:id="54"/>
      <w:bookmarkEnd w:id="55"/>
    </w:p>
    <w:p>
      <w:pPr>
        <w:pStyle w:val="8"/>
        <w:ind w:firstLine="480"/>
        <w:rPr>
          <w:rFonts w:hint="eastAsia"/>
          <w:highlight w:val="none"/>
        </w:rPr>
      </w:pPr>
      <w:r>
        <w:rPr>
          <w:rFonts w:hint="eastAsia"/>
          <w:highlight w:val="none"/>
        </w:rPr>
        <w:t>经查询，</w:t>
      </w:r>
      <w:r>
        <w:rPr>
          <w:rFonts w:hint="eastAsia"/>
          <w:highlight w:val="none"/>
          <w:lang w:eastAsia="zh-CN"/>
        </w:rPr>
        <w:t>GNSS信号模拟器</w:t>
      </w:r>
      <w:r>
        <w:rPr>
          <w:rFonts w:hint="eastAsia"/>
          <w:highlight w:val="none"/>
        </w:rPr>
        <w:t>性能要求与测试方法目前尚无国际标准可供采纳和借鉴。</w:t>
      </w:r>
    </w:p>
    <w:p>
      <w:pPr>
        <w:pStyle w:val="3"/>
        <w:rPr>
          <w:rFonts w:hint="eastAsia"/>
          <w:b/>
          <w:sz w:val="24"/>
          <w:szCs w:val="21"/>
          <w:highlight w:val="none"/>
          <w:lang w:val="en-US" w:eastAsia="zh-CN"/>
        </w:rPr>
      </w:pPr>
      <w:bookmarkStart w:id="56" w:name="_Toc354686009"/>
      <w:bookmarkStart w:id="57" w:name="_Toc26099"/>
      <w:bookmarkStart w:id="58" w:name="_Toc29880"/>
      <w:r>
        <w:rPr>
          <w:rFonts w:hint="eastAsia"/>
          <w:b/>
          <w:sz w:val="24"/>
          <w:szCs w:val="21"/>
          <w:highlight w:val="none"/>
          <w:lang w:val="en-US" w:eastAsia="zh-CN"/>
        </w:rPr>
        <w:t>4.2国外相关标准情况</w:t>
      </w:r>
      <w:bookmarkEnd w:id="56"/>
      <w:bookmarkEnd w:id="57"/>
      <w:bookmarkEnd w:id="58"/>
    </w:p>
    <w:p>
      <w:pPr>
        <w:pStyle w:val="8"/>
        <w:ind w:firstLine="480"/>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GNSS信号模拟器应具备支持目前已经有卫星在轨运行的北斗/GPS/GLONASS/GALILEO四大导航系统的任意一个或多个频点信号的仿真。其中北斗卫星导航系统是我国独立自主研制的导航定位系统，在初步运行阶段，国内外均未发布相关模拟器标准。同时针对GPS、GLONASS和GALILEO卫星导航系统，查询其公开的标准资料及文献也未发现类似及相关的信号源/模拟器的标准。</w:t>
      </w:r>
    </w:p>
    <w:p>
      <w:pPr>
        <w:ind w:firstLine="480" w:firstLineChars="200"/>
        <w:rPr>
          <w:rFonts w:hint="eastAsia"/>
          <w:sz w:val="24"/>
          <w:highlight w:val="none"/>
        </w:rPr>
      </w:pPr>
      <w:r>
        <w:rPr>
          <w:sz w:val="24"/>
          <w:highlight w:val="none"/>
        </w:rPr>
        <w:t>美国的GPS系统作为最早开发和使用的卫星导航系统，已经成功运行几十年，在卫星信号模拟源的研制方面拥有大量成熟的技术</w:t>
      </w:r>
      <w:r>
        <w:rPr>
          <w:rFonts w:hint="eastAsia"/>
          <w:sz w:val="24"/>
          <w:highlight w:val="none"/>
        </w:rPr>
        <w:t>和产品，国际上较知名的GPS卫星导航信号生产商有</w:t>
      </w:r>
      <w:r>
        <w:rPr>
          <w:sz w:val="24"/>
          <w:highlight w:val="none"/>
        </w:rPr>
        <w:t>Spirent、Aeroflex</w:t>
      </w:r>
      <w:r>
        <w:rPr>
          <w:rFonts w:hint="eastAsia"/>
          <w:sz w:val="24"/>
          <w:highlight w:val="none"/>
        </w:rPr>
        <w:t>、CAST</w:t>
      </w:r>
      <w:r>
        <w:rPr>
          <w:sz w:val="24"/>
          <w:highlight w:val="none"/>
        </w:rPr>
        <w:t>等</w:t>
      </w:r>
      <w:r>
        <w:rPr>
          <w:rFonts w:hint="eastAsia"/>
          <w:sz w:val="24"/>
          <w:highlight w:val="none"/>
        </w:rPr>
        <w:t>。综合查询到的各家产品的技术要求，其在仿真信号的频段、调制方式、信号精度（</w:t>
      </w:r>
      <w:r>
        <w:rPr>
          <w:sz w:val="24"/>
          <w:highlight w:val="none"/>
        </w:rPr>
        <w:t>伪距控制精度</w:t>
      </w:r>
      <w:r>
        <w:rPr>
          <w:rFonts w:hint="eastAsia"/>
          <w:sz w:val="24"/>
          <w:highlight w:val="none"/>
        </w:rPr>
        <w:t>、</w:t>
      </w:r>
      <w:r>
        <w:rPr>
          <w:sz w:val="24"/>
          <w:highlight w:val="none"/>
        </w:rPr>
        <w:t>通道间一致性</w:t>
      </w:r>
      <w:r>
        <w:rPr>
          <w:rFonts w:hint="eastAsia"/>
          <w:sz w:val="24"/>
          <w:highlight w:val="none"/>
        </w:rPr>
        <w:t>）、信号质量（谐杂波功率、相位噪声、频率稳定度）和信号功率（功率控制范围、准确度）均有要求，这些对本项目标准制定具有的一定参考和借鉴价值。</w:t>
      </w:r>
    </w:p>
    <w:p>
      <w:pPr>
        <w:pStyle w:val="2"/>
        <w:rPr>
          <w:rFonts w:hint="eastAsia"/>
          <w:sz w:val="24"/>
          <w:szCs w:val="24"/>
          <w:highlight w:val="none"/>
          <w:lang w:val="en-US" w:eastAsia="zh-CN"/>
        </w:rPr>
      </w:pPr>
      <w:bookmarkStart w:id="59" w:name="_Toc8456"/>
      <w:bookmarkStart w:id="60" w:name="_Toc26982"/>
      <w:r>
        <w:rPr>
          <w:rFonts w:hint="eastAsia"/>
          <w:sz w:val="24"/>
          <w:szCs w:val="24"/>
          <w:highlight w:val="none"/>
          <w:lang w:val="en-US" w:eastAsia="zh-CN"/>
        </w:rPr>
        <w:t>与有关的现行法律、法规和强制性国家标准的关系</w:t>
      </w:r>
      <w:bookmarkEnd w:id="59"/>
      <w:bookmarkEnd w:id="60"/>
    </w:p>
    <w:p>
      <w:pPr>
        <w:ind w:firstLine="480" w:firstLineChars="200"/>
        <w:rPr>
          <w:rFonts w:hint="eastAsia"/>
          <w:sz w:val="24"/>
          <w:highlight w:val="none"/>
          <w:lang w:val="en-US" w:eastAsia="zh-CN"/>
        </w:rPr>
      </w:pPr>
      <w:r>
        <w:rPr>
          <w:rFonts w:hint="eastAsia"/>
          <w:sz w:val="24"/>
          <w:highlight w:val="none"/>
          <w:lang w:val="en-US" w:eastAsia="zh-CN"/>
        </w:rPr>
        <w:t>与现行相关法律、法规、规章及相关标准没有冲突或者矛盾。</w:t>
      </w:r>
    </w:p>
    <w:p>
      <w:pPr>
        <w:ind w:firstLine="480" w:firstLineChars="200"/>
        <w:rPr>
          <w:rFonts w:hint="eastAsia"/>
          <w:sz w:val="24"/>
          <w:highlight w:val="none"/>
          <w:lang w:val="en-US" w:eastAsia="zh-CN"/>
        </w:rPr>
      </w:pPr>
      <w:r>
        <w:rPr>
          <w:rFonts w:hint="eastAsia"/>
          <w:sz w:val="24"/>
          <w:highlight w:val="none"/>
          <w:lang w:val="en-US" w:eastAsia="zh-CN"/>
        </w:rPr>
        <w:t>本标准引用了《JJF 1188-2008无线电计量名词术语及定义》和《BD 110001-2015北斗卫星导航术语》的相关计量术语和北斗卫星导航术语。</w:t>
      </w:r>
    </w:p>
    <w:p>
      <w:pPr>
        <w:ind w:firstLine="480" w:firstLineChars="200"/>
        <w:rPr>
          <w:rFonts w:hint="eastAsia"/>
          <w:sz w:val="24"/>
          <w:highlight w:val="none"/>
          <w:lang w:val="en-US" w:eastAsia="zh-CN"/>
        </w:rPr>
      </w:pPr>
      <w:r>
        <w:rPr>
          <w:rFonts w:hint="eastAsia"/>
          <w:sz w:val="24"/>
          <w:highlight w:val="none"/>
          <w:lang w:val="en-US" w:eastAsia="zh-CN"/>
        </w:rPr>
        <w:t>本标准引用了《JJF 1471-2014 全球卫星导航系统(GNSS)信号模拟器校准规范》中加加速度术语以及功率范围、功率分辨力等相关计量特性，本标准参考了该计量技术规范的校准项目，制定和规范了GNSS信号模拟器的各性能指标要求及测试方法。</w:t>
      </w:r>
    </w:p>
    <w:p>
      <w:pPr>
        <w:pStyle w:val="2"/>
        <w:rPr>
          <w:rFonts w:hint="eastAsia"/>
          <w:sz w:val="24"/>
          <w:szCs w:val="24"/>
          <w:highlight w:val="none"/>
          <w:lang w:val="en-US" w:eastAsia="zh-CN"/>
        </w:rPr>
      </w:pPr>
      <w:bookmarkStart w:id="61" w:name="_Toc30537"/>
      <w:bookmarkStart w:id="62" w:name="_Toc25373"/>
      <w:r>
        <w:rPr>
          <w:rFonts w:hint="eastAsia"/>
          <w:sz w:val="24"/>
          <w:szCs w:val="24"/>
          <w:highlight w:val="none"/>
          <w:lang w:val="en-US" w:eastAsia="zh-CN"/>
        </w:rPr>
        <w:t>重大分歧意见的处理经过和依据</w:t>
      </w:r>
      <w:bookmarkEnd w:id="61"/>
      <w:bookmarkEnd w:id="62"/>
    </w:p>
    <w:p>
      <w:pPr>
        <w:ind w:firstLine="480" w:firstLineChars="200"/>
        <w:rPr>
          <w:rFonts w:hint="eastAsia"/>
          <w:sz w:val="24"/>
          <w:szCs w:val="24"/>
          <w:highlight w:val="none"/>
          <w:lang w:val="en-US" w:eastAsia="zh-CN"/>
        </w:rPr>
      </w:pPr>
      <w:r>
        <w:rPr>
          <w:rFonts w:hint="eastAsia"/>
          <w:sz w:val="24"/>
          <w:szCs w:val="24"/>
          <w:highlight w:val="none"/>
          <w:lang w:val="en-US" w:eastAsia="zh-CN"/>
        </w:rPr>
        <w:t>本标准制定过程中，无重大分歧。</w:t>
      </w:r>
    </w:p>
    <w:p>
      <w:pPr>
        <w:pStyle w:val="2"/>
        <w:rPr>
          <w:rFonts w:hint="eastAsia"/>
          <w:sz w:val="24"/>
          <w:szCs w:val="24"/>
          <w:highlight w:val="none"/>
          <w:lang w:val="en-US" w:eastAsia="zh-CN"/>
        </w:rPr>
      </w:pPr>
      <w:bookmarkStart w:id="63" w:name="_Toc30773"/>
      <w:bookmarkStart w:id="64" w:name="_Toc15653"/>
      <w:r>
        <w:rPr>
          <w:rFonts w:hint="eastAsia"/>
          <w:sz w:val="24"/>
          <w:szCs w:val="24"/>
          <w:highlight w:val="none"/>
          <w:lang w:val="en-US" w:eastAsia="zh-CN"/>
        </w:rPr>
        <w:t>标准性质的建议说明</w:t>
      </w:r>
      <w:bookmarkEnd w:id="63"/>
      <w:bookmarkEnd w:id="64"/>
    </w:p>
    <w:p>
      <w:pPr>
        <w:ind w:firstLine="480" w:firstLineChars="200"/>
        <w:rPr>
          <w:rFonts w:hint="eastAsia"/>
          <w:sz w:val="24"/>
          <w:szCs w:val="24"/>
          <w:highlight w:val="none"/>
          <w:lang w:val="en-US" w:eastAsia="zh-CN"/>
        </w:rPr>
      </w:pPr>
      <w:r>
        <w:rPr>
          <w:rFonts w:hint="eastAsia"/>
          <w:sz w:val="24"/>
          <w:szCs w:val="24"/>
          <w:highlight w:val="none"/>
          <w:lang w:val="en-US" w:eastAsia="zh-CN"/>
        </w:rPr>
        <w:t>本标准为推荐性标准。</w:t>
      </w:r>
    </w:p>
    <w:p>
      <w:pPr>
        <w:pStyle w:val="2"/>
        <w:rPr>
          <w:rFonts w:hint="eastAsia"/>
          <w:sz w:val="24"/>
          <w:szCs w:val="24"/>
          <w:highlight w:val="none"/>
          <w:lang w:val="en-US" w:eastAsia="zh-CN"/>
        </w:rPr>
      </w:pPr>
      <w:bookmarkStart w:id="65" w:name="_Toc23512"/>
      <w:bookmarkStart w:id="66" w:name="_Toc11829"/>
      <w:r>
        <w:rPr>
          <w:rFonts w:hint="eastAsia"/>
          <w:sz w:val="24"/>
          <w:szCs w:val="24"/>
          <w:highlight w:val="none"/>
          <w:lang w:val="en-US" w:eastAsia="zh-CN"/>
        </w:rPr>
        <w:t>贯彻标准的要求和措施建议</w:t>
      </w:r>
      <w:bookmarkEnd w:id="65"/>
      <w:bookmarkEnd w:id="66"/>
    </w:p>
    <w:p>
      <w:pPr>
        <w:rPr>
          <w:sz w:val="24"/>
          <w:highlight w:val="none"/>
        </w:rPr>
      </w:pPr>
      <w:r>
        <w:rPr>
          <w:rFonts w:hint="eastAsia"/>
          <w:color w:val="FF0000"/>
          <w:sz w:val="24"/>
          <w:highlight w:val="none"/>
        </w:rPr>
        <w:tab/>
      </w:r>
      <w:r>
        <w:rPr>
          <w:rFonts w:hint="eastAsia"/>
          <w:sz w:val="24"/>
          <w:highlight w:val="none"/>
        </w:rPr>
        <w:t>基于本标准的重要性，颁布贯彻实施前应及时在行业内及相关单位公开宣传，引起有关部门领导和员工的高度重视。使相关企业能够积极主动的学习相关标准并参加培训、结合实际学习研究标准并准备贯彻实施标准。</w:t>
      </w:r>
    </w:p>
    <w:p>
      <w:pPr>
        <w:pStyle w:val="3"/>
        <w:rPr>
          <w:rFonts w:hint="eastAsia"/>
          <w:b/>
          <w:sz w:val="24"/>
          <w:szCs w:val="21"/>
          <w:highlight w:val="none"/>
          <w:lang w:val="en-US" w:eastAsia="zh-CN"/>
        </w:rPr>
      </w:pPr>
      <w:bookmarkStart w:id="67" w:name="_Toc26987"/>
      <w:bookmarkStart w:id="68" w:name="_Toc8061"/>
      <w:r>
        <w:rPr>
          <w:rFonts w:hint="eastAsia"/>
          <w:b/>
          <w:sz w:val="24"/>
          <w:szCs w:val="21"/>
          <w:highlight w:val="none"/>
          <w:lang w:val="en-US" w:eastAsia="zh-CN"/>
        </w:rPr>
        <w:t>8.1标准贯彻实施措施</w:t>
      </w:r>
      <w:bookmarkEnd w:id="67"/>
      <w:bookmarkEnd w:id="68"/>
    </w:p>
    <w:p>
      <w:pPr>
        <w:rPr>
          <w:sz w:val="24"/>
          <w:highlight w:val="none"/>
        </w:rPr>
      </w:pPr>
      <w:r>
        <w:rPr>
          <w:rFonts w:hint="eastAsia"/>
          <w:sz w:val="24"/>
          <w:highlight w:val="none"/>
        </w:rPr>
        <w:tab/>
      </w:r>
      <w:r>
        <w:rPr>
          <w:rFonts w:hint="eastAsia"/>
          <w:sz w:val="24"/>
          <w:highlight w:val="none"/>
        </w:rPr>
        <w:t>标准归口单位进行贯标指导，组织标准宣贯培训班，由标准制定人员主讲。设立专门的答疑或咨询部门，为贯标企业答疑解惑，可以是有偿服务。贯标实施措施有：</w:t>
      </w:r>
    </w:p>
    <w:p>
      <w:pPr>
        <w:pStyle w:val="9"/>
        <w:numPr>
          <w:ilvl w:val="0"/>
          <w:numId w:val="8"/>
        </w:numPr>
        <w:spacing w:after="80"/>
        <w:ind w:left="845" w:leftChars="0" w:hanging="425" w:firstLineChars="0"/>
        <w:rPr>
          <w:sz w:val="24"/>
          <w:highlight w:val="none"/>
        </w:rPr>
      </w:pPr>
      <w:r>
        <w:rPr>
          <w:rFonts w:hint="eastAsia"/>
          <w:sz w:val="24"/>
          <w:highlight w:val="none"/>
        </w:rPr>
        <w:t>组织有关人员积极参加行业协会组织的各项活动、培训等。及时了解国内外相关标准制、修订信息。</w:t>
      </w:r>
    </w:p>
    <w:p>
      <w:pPr>
        <w:pStyle w:val="9"/>
        <w:numPr>
          <w:ilvl w:val="0"/>
          <w:numId w:val="8"/>
        </w:numPr>
        <w:spacing w:after="80"/>
        <w:ind w:left="845" w:leftChars="0" w:hanging="425" w:firstLineChars="0"/>
        <w:rPr>
          <w:sz w:val="24"/>
          <w:highlight w:val="none"/>
        </w:rPr>
      </w:pPr>
      <w:r>
        <w:rPr>
          <w:rFonts w:hint="eastAsia"/>
          <w:sz w:val="24"/>
          <w:highlight w:val="none"/>
        </w:rPr>
        <w:t>成立本标准贯彻实施小组，可编制贯标细则，完成后下发至有关部门和企业，适时组织标准宣贯会，使有关人员能够了解标准、熟悉标准、执行标准。</w:t>
      </w:r>
    </w:p>
    <w:p>
      <w:pPr>
        <w:pStyle w:val="9"/>
        <w:numPr>
          <w:ilvl w:val="0"/>
          <w:numId w:val="8"/>
        </w:numPr>
        <w:spacing w:after="80"/>
        <w:ind w:left="845" w:leftChars="0" w:hanging="425" w:firstLineChars="0"/>
        <w:rPr>
          <w:sz w:val="24"/>
          <w:highlight w:val="none"/>
        </w:rPr>
      </w:pPr>
      <w:r>
        <w:rPr>
          <w:rFonts w:hint="eastAsia"/>
          <w:sz w:val="24"/>
          <w:highlight w:val="none"/>
        </w:rPr>
        <w:t>标准化技术人员应全面负责贯标实施工作，跟踪服务对贯标中出现的技术问题进行协调处理做好贯标记录，并进行长期监督检查工作。</w:t>
      </w:r>
    </w:p>
    <w:p>
      <w:pPr>
        <w:pStyle w:val="3"/>
        <w:rPr>
          <w:rFonts w:hint="eastAsia"/>
          <w:b/>
          <w:sz w:val="24"/>
          <w:szCs w:val="21"/>
          <w:highlight w:val="none"/>
          <w:lang w:val="en-US" w:eastAsia="zh-CN"/>
        </w:rPr>
      </w:pPr>
      <w:bookmarkStart w:id="69" w:name="_Toc5170"/>
      <w:bookmarkStart w:id="70" w:name="_Toc30827"/>
      <w:r>
        <w:rPr>
          <w:rFonts w:hint="eastAsia"/>
          <w:b/>
          <w:sz w:val="24"/>
          <w:szCs w:val="21"/>
          <w:highlight w:val="none"/>
          <w:lang w:val="en-US" w:eastAsia="zh-CN"/>
        </w:rPr>
        <w:t>8.2建议</w:t>
      </w:r>
      <w:bookmarkEnd w:id="69"/>
      <w:bookmarkEnd w:id="70"/>
    </w:p>
    <w:p>
      <w:pPr>
        <w:pStyle w:val="9"/>
        <w:numPr>
          <w:ilvl w:val="0"/>
          <w:numId w:val="9"/>
        </w:numPr>
        <w:spacing w:after="80"/>
        <w:ind w:left="845" w:leftChars="0" w:hanging="425" w:firstLineChars="0"/>
        <w:rPr>
          <w:sz w:val="24"/>
          <w:highlight w:val="none"/>
        </w:rPr>
      </w:pPr>
      <w:r>
        <w:rPr>
          <w:rFonts w:hint="eastAsia"/>
          <w:sz w:val="24"/>
          <w:highlight w:val="none"/>
        </w:rPr>
        <w:t>由标准归口单位领头建立文件、准备培训课件，严格按照培训计划做好各环节培训工作，为标准实施打下坚实基础。</w:t>
      </w:r>
    </w:p>
    <w:p>
      <w:pPr>
        <w:pStyle w:val="9"/>
        <w:numPr>
          <w:ilvl w:val="0"/>
          <w:numId w:val="9"/>
        </w:numPr>
        <w:spacing w:after="80"/>
        <w:ind w:left="845" w:leftChars="0" w:hanging="425" w:firstLineChars="0"/>
        <w:rPr>
          <w:sz w:val="24"/>
          <w:highlight w:val="none"/>
        </w:rPr>
      </w:pPr>
      <w:r>
        <w:rPr>
          <w:rFonts w:hint="eastAsia"/>
          <w:sz w:val="24"/>
          <w:highlight w:val="none"/>
        </w:rPr>
        <w:t>为确保宣贯培训质量，应建立检查考评中心，对各培训进行考核。并制定相应奖惩措施。</w:t>
      </w:r>
    </w:p>
    <w:p>
      <w:pPr>
        <w:pStyle w:val="9"/>
        <w:numPr>
          <w:ilvl w:val="0"/>
          <w:numId w:val="9"/>
        </w:numPr>
        <w:spacing w:after="80"/>
        <w:ind w:left="845" w:leftChars="0" w:hanging="425" w:firstLineChars="0"/>
        <w:rPr>
          <w:sz w:val="24"/>
          <w:highlight w:val="none"/>
        </w:rPr>
      </w:pPr>
      <w:r>
        <w:rPr>
          <w:rFonts w:hint="eastAsia"/>
          <w:sz w:val="24"/>
          <w:highlight w:val="none"/>
        </w:rPr>
        <w:t>为提高标准落实质量，建立定期检查措施，对标准实施单位进行定期检查及相应培训。</w:t>
      </w:r>
    </w:p>
    <w:p>
      <w:pPr>
        <w:pStyle w:val="2"/>
        <w:rPr>
          <w:rFonts w:hint="eastAsia"/>
          <w:sz w:val="24"/>
          <w:szCs w:val="24"/>
          <w:highlight w:val="none"/>
          <w:lang w:val="en-US" w:eastAsia="zh-CN"/>
        </w:rPr>
      </w:pPr>
      <w:bookmarkStart w:id="71" w:name="_Toc25225"/>
      <w:bookmarkStart w:id="72" w:name="_Toc14528"/>
      <w:r>
        <w:rPr>
          <w:rFonts w:hint="eastAsia"/>
          <w:sz w:val="24"/>
          <w:szCs w:val="24"/>
          <w:highlight w:val="none"/>
          <w:lang w:val="en-US" w:eastAsia="zh-CN"/>
        </w:rPr>
        <w:t>废止现行有关标准的建议</w:t>
      </w:r>
      <w:bookmarkEnd w:id="71"/>
      <w:bookmarkEnd w:id="72"/>
    </w:p>
    <w:p>
      <w:pPr>
        <w:ind w:firstLine="480" w:firstLineChars="200"/>
        <w:rPr>
          <w:rFonts w:hint="eastAsia"/>
          <w:sz w:val="24"/>
          <w:highlight w:val="none"/>
          <w:lang w:val="en-US" w:eastAsia="zh-CN"/>
        </w:rPr>
      </w:pPr>
      <w:r>
        <w:rPr>
          <w:rFonts w:hint="eastAsia"/>
          <w:sz w:val="24"/>
          <w:highlight w:val="none"/>
          <w:lang w:val="en-US" w:eastAsia="zh-CN"/>
        </w:rPr>
        <w:t>无。</w:t>
      </w:r>
    </w:p>
    <w:p>
      <w:pPr>
        <w:pStyle w:val="2"/>
        <w:rPr>
          <w:rFonts w:hint="eastAsia"/>
          <w:sz w:val="24"/>
          <w:szCs w:val="24"/>
          <w:highlight w:val="none"/>
          <w:lang w:val="en-US" w:eastAsia="zh-CN"/>
        </w:rPr>
      </w:pPr>
      <w:bookmarkStart w:id="73" w:name="_Toc28649"/>
      <w:bookmarkStart w:id="74" w:name="_Toc25107"/>
      <w:r>
        <w:rPr>
          <w:rFonts w:hint="eastAsia"/>
          <w:sz w:val="24"/>
          <w:szCs w:val="24"/>
          <w:highlight w:val="none"/>
          <w:lang w:val="en-US" w:eastAsia="zh-CN"/>
        </w:rPr>
        <w:t>其他应予说明的事项</w:t>
      </w:r>
      <w:bookmarkEnd w:id="73"/>
      <w:bookmarkEnd w:id="74"/>
    </w:p>
    <w:p>
      <w:pPr>
        <w:ind w:firstLine="480" w:firstLineChars="200"/>
        <w:rPr>
          <w:rFonts w:hint="eastAsia"/>
          <w:sz w:val="24"/>
          <w:highlight w:val="none"/>
          <w:lang w:val="en-US" w:eastAsia="zh-CN"/>
        </w:rPr>
      </w:pPr>
      <w:r>
        <w:rPr>
          <w:rFonts w:hint="eastAsia"/>
          <w:sz w:val="24"/>
          <w:highlight w:val="none"/>
          <w:lang w:val="en-US" w:eastAsia="zh-CN"/>
        </w:rPr>
        <w:t>无。</w:t>
      </w:r>
    </w:p>
    <w:p>
      <w:pPr>
        <w:rPr>
          <w:rFonts w:hint="eastAsia"/>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WinCharSetFFFF-H">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fldChar w:fldCharType="begin"/>
    </w:r>
    <w:r>
      <w:instrText xml:space="preserve">PAGE   \* MERGEFORMAT</w:instrText>
    </w:r>
    <w:r>
      <w:fldChar w:fldCharType="separate"/>
    </w:r>
    <w:r>
      <w:rPr>
        <w:lang w:val="zh-CN"/>
      </w:rPr>
      <w:t>2</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27F048"/>
    <w:multiLevelType w:val="multilevel"/>
    <w:tmpl w:val="CE27F048"/>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00000005"/>
    <w:multiLevelType w:val="multilevel"/>
    <w:tmpl w:val="00000005"/>
    <w:lvl w:ilvl="0" w:tentative="0">
      <w:start w:val="1"/>
      <w:numFmt w:val="low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6"/>
    <w:multiLevelType w:val="multilevel"/>
    <w:tmpl w:val="00000006"/>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7"/>
    <w:multiLevelType w:val="multilevel"/>
    <w:tmpl w:val="00000007"/>
    <w:lvl w:ilvl="0" w:tentative="0">
      <w:start w:val="1"/>
      <w:numFmt w:val="low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10"/>
    <w:multiLevelType w:val="multilevel"/>
    <w:tmpl w:val="00000010"/>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00000017"/>
    <w:multiLevelType w:val="multilevel"/>
    <w:tmpl w:val="00000017"/>
    <w:lvl w:ilvl="0" w:tentative="0">
      <w:start w:val="1"/>
      <w:numFmt w:val="lowerLetter"/>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A1AE5FA"/>
    <w:multiLevelType w:val="singleLevel"/>
    <w:tmpl w:val="1A1AE5FA"/>
    <w:lvl w:ilvl="0" w:tentative="0">
      <w:start w:val="1"/>
      <w:numFmt w:val="decimal"/>
      <w:lvlText w:val="%1)"/>
      <w:lvlJc w:val="left"/>
      <w:pPr>
        <w:ind w:left="425" w:hanging="425"/>
      </w:pPr>
      <w:rPr>
        <w:rFonts w:hint="default"/>
      </w:rPr>
    </w:lvl>
  </w:abstractNum>
  <w:abstractNum w:abstractNumId="7">
    <w:nsid w:val="6A218FCD"/>
    <w:multiLevelType w:val="singleLevel"/>
    <w:tmpl w:val="6A218FCD"/>
    <w:lvl w:ilvl="0" w:tentative="0">
      <w:start w:val="1"/>
      <w:numFmt w:val="decimal"/>
      <w:lvlText w:val="%1)"/>
      <w:lvlJc w:val="left"/>
      <w:pPr>
        <w:ind w:left="425" w:hanging="425"/>
      </w:pPr>
      <w:rPr>
        <w:rFonts w:hint="default"/>
      </w:rPr>
    </w:lvl>
  </w:abstractNum>
  <w:abstractNum w:abstractNumId="8">
    <w:nsid w:val="70A8DBD1"/>
    <w:multiLevelType w:val="singleLevel"/>
    <w:tmpl w:val="70A8DBD1"/>
    <w:lvl w:ilvl="0" w:tentative="0">
      <w:start w:val="1"/>
      <w:numFmt w:val="decimal"/>
      <w:lvlText w:val="%1)"/>
      <w:lvlJc w:val="left"/>
      <w:pPr>
        <w:ind w:left="425" w:hanging="425"/>
      </w:pPr>
      <w:rPr>
        <w:rFonts w:hint="default"/>
      </w:rPr>
    </w:lvl>
  </w:abstractNum>
  <w:num w:numId="1">
    <w:abstractNumId w:val="4"/>
  </w:num>
  <w:num w:numId="2">
    <w:abstractNumId w:val="6"/>
  </w:num>
  <w:num w:numId="3">
    <w:abstractNumId w:val="2"/>
  </w:num>
  <w:num w:numId="4">
    <w:abstractNumId w:val="7"/>
  </w:num>
  <w:num w:numId="5">
    <w:abstractNumId w:val="1"/>
  </w:num>
  <w:num w:numId="6">
    <w:abstractNumId w:val="3"/>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0129C8"/>
    <w:rsid w:val="064D1ED0"/>
    <w:rsid w:val="09640F7A"/>
    <w:rsid w:val="1D0129C8"/>
    <w:rsid w:val="25B326A8"/>
    <w:rsid w:val="3EE502F0"/>
    <w:rsid w:val="40F75758"/>
    <w:rsid w:val="41425B11"/>
    <w:rsid w:val="458A6F45"/>
    <w:rsid w:val="4870784D"/>
    <w:rsid w:val="4A153990"/>
    <w:rsid w:val="4F1A21F2"/>
    <w:rsid w:val="571E4609"/>
    <w:rsid w:val="5EE678C7"/>
    <w:rsid w:val="5F186DF5"/>
    <w:rsid w:val="76555F57"/>
    <w:rsid w:val="7916703A"/>
    <w:rsid w:val="792656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156" w:beforeLines="50" w:after="156" w:afterLines="50"/>
      <w:outlineLvl w:val="0"/>
    </w:pPr>
    <w:rPr>
      <w:rFonts w:ascii="黑体" w:eastAsia="黑体"/>
      <w:b/>
      <w:bCs/>
      <w:kern w:val="44"/>
      <w:szCs w:val="21"/>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szCs w:val="18"/>
    </w:rPr>
  </w:style>
  <w:style w:type="paragraph" w:customStyle="1" w:styleId="8">
    <w:name w:val="内容"/>
    <w:basedOn w:val="1"/>
    <w:qFormat/>
    <w:uiPriority w:val="0"/>
    <w:pPr>
      <w:ind w:firstLine="200" w:firstLineChars="200"/>
    </w:pPr>
    <w:rPr>
      <w:sz w:val="24"/>
    </w:rPr>
  </w:style>
  <w:style w:type="paragraph" w:customStyle="1" w:styleId="9">
    <w:name w:val="List Paragraph"/>
    <w:basedOn w:val="1"/>
    <w:qFormat/>
    <w:uiPriority w:val="0"/>
    <w:pPr>
      <w:ind w:firstLine="420" w:firstLineChars="200"/>
    </w:pPr>
  </w:style>
  <w:style w:type="paragraph" w:customStyle="1" w:styleId="10">
    <w:name w:val="WPSOffice手动目录 1"/>
    <w:qFormat/>
    <w:uiPriority w:val="0"/>
    <w:pPr>
      <w:ind w:leftChars="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2018-03-16T07:47:00Z</dcterms:created>
  <dc:creator>john</dc:creator>
  <cp:lastModifiedBy>Atine</cp:lastModifiedBy>
  <dcterms:modified xsi:type="dcterms:W3CDTF">2018-05-30T06:52:01Z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