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napToGrid w:val="0"/>
        <w:spacing w:beforeLines="0" w:afterLines="0"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北斗综合定位导航授时体系关键技术攻关指南（第一批）项目立项评审工作规范</w:t>
      </w:r>
    </w:p>
    <w:p>
      <w:pPr>
        <w:spacing w:line="580" w:lineRule="exact"/>
        <w:ind w:firstLine="540"/>
        <w:jc w:val="center"/>
        <w:rPr>
          <w:rFonts w:eastAsia="楷体_GB2312"/>
          <w:sz w:val="32"/>
          <w:szCs w:val="32"/>
        </w:rPr>
      </w:pP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  总则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第一条 </w:t>
      </w:r>
      <w:r>
        <w:rPr>
          <w:rFonts w:eastAsia="仿宋_GB2312"/>
          <w:sz w:val="32"/>
          <w:szCs w:val="32"/>
        </w:rPr>
        <w:t>为规范</w:t>
      </w:r>
      <w:r>
        <w:rPr>
          <w:rFonts w:hint="eastAsia" w:eastAsia="仿宋_GB2312"/>
          <w:sz w:val="32"/>
          <w:szCs w:val="32"/>
        </w:rPr>
        <w:t>北斗综合定位导航授时体系关键技术攻关指南（第一批）</w:t>
      </w:r>
      <w:r>
        <w:rPr>
          <w:rFonts w:hint="default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立项评审工作，营造有利于激发创新活力的公平公正竞争环境，制定本工作规范。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本工作规范是北斗综合定位导航授时体系关键技术攻关指南（第一批）</w:t>
      </w:r>
      <w:r>
        <w:rPr>
          <w:rFonts w:hint="default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立项评审工作的基本依据。</w:t>
      </w:r>
    </w:p>
    <w:p>
      <w:pPr>
        <w:spacing w:line="58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bCs/>
          <w:sz w:val="32"/>
          <w:szCs w:val="32"/>
        </w:rPr>
        <w:t xml:space="preserve">  立项评审分为初审和会议评审，可按领域并行开展评审工作。</w:t>
      </w:r>
    </w:p>
    <w:p>
      <w:pPr>
        <w:spacing w:line="58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第四条</w:t>
      </w:r>
      <w:r>
        <w:rPr>
          <w:rFonts w:hint="eastAsia" w:eastAsia="仿宋_GB2312"/>
          <w:bCs/>
          <w:sz w:val="32"/>
          <w:szCs w:val="32"/>
        </w:rPr>
        <w:t xml:space="preserve">  每条指南信息，申报</w:t>
      </w:r>
      <w:r>
        <w:rPr>
          <w:rFonts w:hint="eastAsia" w:eastAsia="仿宋_GB2312"/>
          <w:bCs/>
          <w:color w:val="000000"/>
          <w:sz w:val="32"/>
          <w:szCs w:val="32"/>
        </w:rPr>
        <w:t>超过</w:t>
      </w:r>
      <w:r>
        <w:rPr>
          <w:rFonts w:hint="default" w:eastAsia="仿宋_GB2312"/>
          <w:bCs/>
          <w:color w:val="000000"/>
          <w:sz w:val="32"/>
          <w:szCs w:val="32"/>
        </w:rPr>
        <w:t>计划支持</w:t>
      </w:r>
      <w:r>
        <w:rPr>
          <w:rFonts w:hint="eastAsia" w:eastAsia="仿宋_GB2312"/>
          <w:bCs/>
          <w:color w:val="000000"/>
          <w:sz w:val="32"/>
          <w:szCs w:val="32"/>
        </w:rPr>
        <w:t>单位</w:t>
      </w:r>
      <w:r>
        <w:rPr>
          <w:rFonts w:hint="default" w:eastAsia="仿宋_GB2312"/>
          <w:bCs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default" w:eastAsia="仿宋_GB2312"/>
          <w:bCs/>
          <w:sz w:val="32"/>
          <w:szCs w:val="32"/>
        </w:rPr>
        <w:t>倍的</w:t>
      </w:r>
      <w:r>
        <w:rPr>
          <w:rFonts w:hint="eastAsia" w:eastAsia="仿宋_GB2312"/>
          <w:bCs/>
          <w:sz w:val="32"/>
          <w:szCs w:val="32"/>
        </w:rPr>
        <w:t>（联合申报的视为一个单位），需进行初审和会议评审</w:t>
      </w:r>
      <w:r>
        <w:rPr>
          <w:rFonts w:hint="default" w:eastAsia="仿宋_GB2312"/>
          <w:bCs/>
          <w:sz w:val="32"/>
          <w:szCs w:val="32"/>
        </w:rPr>
        <w:t>；</w:t>
      </w:r>
      <w:r>
        <w:rPr>
          <w:rFonts w:hint="eastAsia" w:eastAsia="仿宋_GB2312"/>
          <w:bCs/>
          <w:sz w:val="32"/>
          <w:szCs w:val="32"/>
        </w:rPr>
        <w:t>不超过</w:t>
      </w:r>
      <w:r>
        <w:rPr>
          <w:rFonts w:hint="default" w:eastAsia="仿宋_GB2312"/>
          <w:bCs/>
          <w:sz w:val="32"/>
          <w:szCs w:val="32"/>
        </w:rPr>
        <w:t>计划支持单位数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2倍</w:t>
      </w:r>
      <w:r>
        <w:rPr>
          <w:rFonts w:hint="eastAsia" w:eastAsia="仿宋_GB2312"/>
          <w:bCs/>
          <w:sz w:val="32"/>
          <w:szCs w:val="32"/>
        </w:rPr>
        <w:t>（含）的直接采用会议评审方式。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  立项评审专家组</w:t>
      </w:r>
    </w:p>
    <w:p>
      <w:pPr>
        <w:spacing w:line="58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Cs/>
          <w:sz w:val="32"/>
          <w:szCs w:val="32"/>
        </w:rPr>
        <w:t xml:space="preserve">  立项评审专家组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采用“指定+随机抽取相结合”的方式进行遴选。初审专家人数一般控制在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7-9</w:t>
      </w:r>
      <w:r>
        <w:rPr>
          <w:rFonts w:eastAsia="仿宋_GB2312"/>
          <w:bCs/>
          <w:sz w:val="32"/>
          <w:szCs w:val="32"/>
        </w:rPr>
        <w:t>人，以技术专家为主；会议评审专家人数一般控制在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9-11</w:t>
      </w:r>
      <w:r>
        <w:rPr>
          <w:rFonts w:eastAsia="仿宋_GB2312"/>
          <w:bCs/>
          <w:sz w:val="32"/>
          <w:szCs w:val="32"/>
        </w:rPr>
        <w:t>人，包括技术专家和价格专家，其中价格专家不少于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人。</w:t>
      </w:r>
    </w:p>
    <w:p>
      <w:pPr>
        <w:spacing w:line="58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Cs/>
          <w:sz w:val="32"/>
          <w:szCs w:val="32"/>
        </w:rPr>
        <w:t xml:space="preserve">  评审专家开展评审工作前，应当熟悉和掌握评审活动的规范化要求，签订专家承诺书。</w:t>
      </w:r>
    </w:p>
    <w:p>
      <w:pPr>
        <w:spacing w:line="58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Cs/>
          <w:sz w:val="32"/>
          <w:szCs w:val="32"/>
        </w:rPr>
        <w:t xml:space="preserve">  评审专家要遵守相关保密规定，严守国家秘密，严格控制知密范围。</w:t>
      </w:r>
    </w:p>
    <w:p>
      <w:pPr>
        <w:spacing w:line="58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bCs/>
          <w:sz w:val="32"/>
          <w:szCs w:val="32"/>
        </w:rPr>
        <w:t xml:space="preserve">  项目立项评审严格执行回避制度。评审专家有下列情形之一的，必须申请回避相关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的评审：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（一）有本人申报或参与；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（二）与申报人属于同一法人单位；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（三）与申报人有其他关系可能影响公正评审。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default" w:ascii="Calibri" w:hAnsi="Calibri" w:eastAsia="仿宋_GB2312"/>
          <w:bCs/>
          <w:sz w:val="32"/>
          <w:szCs w:val="32"/>
        </w:rPr>
        <w:t>采购人</w:t>
      </w:r>
      <w:r>
        <w:rPr>
          <w:rFonts w:eastAsia="仿宋_GB2312"/>
          <w:sz w:val="32"/>
          <w:szCs w:val="32"/>
        </w:rPr>
        <w:t>收到评审专家回避申请后，及时决定是否予以回避。同时告知回避申请专家并说明理由。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sz w:val="32"/>
          <w:szCs w:val="32"/>
          <w:highlight w:val="none"/>
        </w:rPr>
        <w:t>第十条</w:t>
      </w:r>
      <w:r>
        <w:rPr>
          <w:rFonts w:hint="eastAsia" w:eastAsia="仿宋_GB2312"/>
          <w:sz w:val="32"/>
          <w:szCs w:val="32"/>
          <w:highlight w:val="none"/>
        </w:rPr>
        <w:t xml:space="preserve">  回避制度：初审环节，回避专家不参加相关项目评审；会审环节，回避专家采取离场回避的方式，待相关课题评审完毕后返回会场。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第三章  申报材料受理与形式审查</w:t>
      </w:r>
    </w:p>
    <w:p>
      <w:pPr>
        <w:spacing w:line="580" w:lineRule="exact"/>
        <w:ind w:firstLine="630" w:firstLineChars="196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highlight w:val="none"/>
        </w:rPr>
        <w:t>一</w:t>
      </w:r>
      <w:r>
        <w:rPr>
          <w:rFonts w:eastAsia="仿宋_GB2312"/>
          <w:b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申报材料采取现场集中受理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和邮寄两种</w:t>
      </w:r>
      <w:r>
        <w:rPr>
          <w:rFonts w:eastAsia="仿宋_GB2312"/>
          <w:sz w:val="32"/>
          <w:szCs w:val="32"/>
          <w:highlight w:val="none"/>
        </w:rPr>
        <w:t>方式。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default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对同一个指南发布条目，每个单位无论作为牵头单位还是参与单位，只能申报一次，否则取消该指南条目申报资格。本次申报不允许只申报部分研究内容。</w:t>
      </w:r>
    </w:p>
    <w:p>
      <w:pPr>
        <w:spacing w:line="580" w:lineRule="exact"/>
        <w:ind w:firstLine="700" w:firstLineChars="21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default" w:eastAsia="仿宋_GB2312"/>
          <w:b/>
          <w:sz w:val="32"/>
          <w:szCs w:val="32"/>
        </w:rPr>
        <w:t>三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申报材料受理时，同步完成形式审查。以下情况视为形式审查不通过：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（一）申报材料不齐全；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（二）申报项目的编号、名称与需求信息不符；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申报人上报的初审材料中透露申报单位名称及申报人姓名</w:t>
      </w:r>
      <w:r>
        <w:rPr>
          <w:rFonts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（四）有关材料未按要求加盖申报单位公章，或公章与申报单位不符；</w:t>
      </w:r>
    </w:p>
    <w:p>
      <w:pPr>
        <w:spacing w:line="580" w:lineRule="exact"/>
        <w:ind w:firstLine="697" w:firstLineChars="21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（五）其他明显不符合申报要求的情况。</w:t>
      </w:r>
    </w:p>
    <w:p>
      <w:pPr>
        <w:spacing w:line="580" w:lineRule="exact"/>
        <w:ind w:firstLine="700" w:firstLineChars="218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第十</w:t>
      </w:r>
      <w:r>
        <w:rPr>
          <w:rFonts w:hint="default" w:eastAsia="仿宋_GB2312"/>
          <w:b/>
          <w:bCs/>
          <w:sz w:val="32"/>
          <w:szCs w:val="32"/>
        </w:rPr>
        <w:t>四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形式审查未通过的申报材料，可修改后在项目受理期内再次提交，超过受理期限不予受理。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第四章  初审</w:t>
      </w:r>
    </w:p>
    <w:p>
      <w:pPr>
        <w:spacing w:line="580" w:lineRule="exact"/>
        <w:ind w:firstLine="630" w:firstLineChars="196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初审采取专家集中盲评方式，每名专家对申报建议书进行书面审查并打分，初审满分为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分，每一份项目建议书得分为去掉一个最高分、去掉一个最低分后的平均值。依据打分排序，确定通过初审的项目。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default" w:eastAsia="仿宋_GB2312"/>
          <w:b/>
          <w:sz w:val="32"/>
          <w:szCs w:val="32"/>
        </w:rPr>
        <w:t>六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初审重点审查研究目标、技术指标、研究进度、研究成果、应用前景、创新性、研究方案及技术途径七部分。其中，研究目标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分、技术指标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分、研究进度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分、研究成果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分、创新性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分、研究方案及技术途径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分、应用前景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分。对研究方向不符合项目指南要求的，总分计为零分。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default" w:eastAsia="仿宋_GB2312"/>
          <w:b/>
          <w:sz w:val="32"/>
          <w:szCs w:val="32"/>
        </w:rPr>
        <w:t>七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初审通过原则：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（一）初审得分原则上不得低于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分；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（二）通过初审的项目建议书总数量，每个项目控制在</w:t>
      </w:r>
      <w:r>
        <w:rPr>
          <w:rFonts w:hint="default" w:eastAsia="仿宋_GB2312"/>
          <w:sz w:val="32"/>
          <w:szCs w:val="32"/>
        </w:rPr>
        <w:t>计划安排单位数的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</w:rPr>
        <w:t>倍</w:t>
      </w:r>
      <w:r>
        <w:rPr>
          <w:rFonts w:hint="eastAsia" w:eastAsia="仿宋_GB2312"/>
          <w:sz w:val="32"/>
          <w:szCs w:val="32"/>
        </w:rPr>
        <w:t>（含）以内。</w:t>
      </w: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第五章  会议评审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</w:rPr>
        <w:t>十</w:t>
      </w:r>
      <w:r>
        <w:rPr>
          <w:rFonts w:hint="default" w:eastAsia="仿宋_GB2312"/>
          <w:b/>
          <w:sz w:val="32"/>
          <w:szCs w:val="32"/>
        </w:rPr>
        <w:t>八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每个项目具体支持单位数量和经费结合竞争择优评审结果确定。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第</w:t>
      </w:r>
      <w:r>
        <w:rPr>
          <w:rFonts w:hint="default" w:eastAsia="仿宋_GB2312"/>
          <w:b/>
          <w:color w:val="auto"/>
          <w:sz w:val="32"/>
          <w:szCs w:val="32"/>
        </w:rPr>
        <w:t>十九</w:t>
      </w:r>
      <w:r>
        <w:rPr>
          <w:rFonts w:eastAsia="仿宋_GB2312"/>
          <w:b/>
          <w:color w:val="auto"/>
          <w:sz w:val="32"/>
          <w:szCs w:val="32"/>
        </w:rPr>
        <w:t>条</w:t>
      </w:r>
      <w:r>
        <w:rPr>
          <w:rFonts w:eastAsia="仿宋_GB2312"/>
          <w:color w:val="auto"/>
          <w:sz w:val="32"/>
          <w:szCs w:val="32"/>
        </w:rPr>
        <w:t xml:space="preserve">  通过初审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的项目</w:t>
      </w:r>
      <w:r>
        <w:rPr>
          <w:rFonts w:eastAsia="仿宋_GB2312"/>
          <w:color w:val="auto"/>
          <w:sz w:val="32"/>
          <w:szCs w:val="32"/>
        </w:rPr>
        <w:t>进入会议评审，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申报单位没有超过支持数量2倍数量的项目直接进入会议评审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评审不安排汇报答辩环节，申报人不到场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 xml:space="preserve">  提交会议评审的项目申报材料中，经费报价不得超过指南条目所列的经费限额，否则取消会议评审资格。</w:t>
      </w:r>
    </w:p>
    <w:p>
      <w:pPr>
        <w:spacing w:line="62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一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eastAsia="仿宋_GB2312"/>
          <w:sz w:val="32"/>
          <w:szCs w:val="32"/>
        </w:rPr>
        <w:t>会议评审专家评分表设技术和价格两部分，满分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分。其中，技术分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分，价格分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分。</w:t>
      </w:r>
    </w:p>
    <w:p>
      <w:pPr>
        <w:spacing w:line="62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二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eastAsia="仿宋_GB2312"/>
          <w:sz w:val="32"/>
          <w:szCs w:val="32"/>
        </w:rPr>
        <w:t>会议评审技术分主要包括</w:t>
      </w:r>
      <w:r>
        <w:rPr>
          <w:rFonts w:hint="eastAsia" w:eastAsia="仿宋_GB2312"/>
          <w:sz w:val="32"/>
          <w:szCs w:val="32"/>
        </w:rPr>
        <w:t>需求分析</w:t>
      </w:r>
      <w:r>
        <w:rPr>
          <w:rFonts w:eastAsia="仿宋_GB2312"/>
          <w:sz w:val="32"/>
          <w:szCs w:val="32"/>
        </w:rPr>
        <w:t>与研究现状、研究目标技术指标、研究方案途径、进度成果应用、研究条件五部分。其中，</w:t>
      </w:r>
      <w:r>
        <w:rPr>
          <w:rFonts w:hint="eastAsia" w:eastAsia="仿宋_GB2312"/>
          <w:sz w:val="32"/>
          <w:szCs w:val="32"/>
        </w:rPr>
        <w:t>需求分析</w:t>
      </w:r>
      <w:r>
        <w:rPr>
          <w:rFonts w:eastAsia="仿宋_GB2312"/>
          <w:sz w:val="32"/>
          <w:szCs w:val="32"/>
        </w:rPr>
        <w:t>与研究现状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分；研究目标技术指标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分（研究目标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分、研究内容和关键技术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分、技术指标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分）；研究方案途径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分（总体方案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分、技术创新性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；进度成果应用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分（研究进度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分、成果考核方式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分、预期应用前景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分）；研究条件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分（技术基础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分、保障条件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分)。技术分由所有技术专家独立打分，最终结果为去掉一个最高分、去掉一个最低分后的平均值。</w:t>
      </w:r>
    </w:p>
    <w:p>
      <w:pPr>
        <w:spacing w:line="62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三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eastAsia="仿宋_GB2312"/>
          <w:sz w:val="32"/>
          <w:szCs w:val="32"/>
        </w:rPr>
        <w:t>会议评审价格分包括合理性（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分）和经济可行性（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分）两部分。合理性分值由所有技术专家和价格专家独立打分，最终结果为去掉一个最高分、去掉一个最低分后的平均值。经济可行性分值根据公式计算给出，具体计算方式：</w:t>
      </w:r>
      <w:r>
        <w:rPr>
          <w:rFonts w:hint="eastAsia" w:eastAsia="仿宋_GB2312"/>
          <w:sz w:val="32"/>
          <w:szCs w:val="32"/>
        </w:rPr>
        <w:t>以合理性分值超过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分（含）单位</w:t>
      </w:r>
      <w:r>
        <w:rPr>
          <w:rFonts w:eastAsia="仿宋_GB2312"/>
          <w:sz w:val="32"/>
          <w:szCs w:val="32"/>
        </w:rPr>
        <w:t>报价的</w:t>
      </w:r>
      <w:r>
        <w:rPr>
          <w:rFonts w:hint="eastAsia" w:eastAsia="仿宋_GB2312"/>
          <w:sz w:val="32"/>
          <w:szCs w:val="32"/>
        </w:rPr>
        <w:t>最低价作为基准价，经济可行性得分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=4+</w:t>
      </w:r>
      <w:r>
        <w:rPr>
          <w:rFonts w:hint="eastAsia" w:eastAsia="仿宋_GB2312"/>
          <w:sz w:val="32"/>
          <w:szCs w:val="32"/>
        </w:rPr>
        <w:t>基准价/报价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×4。</w:t>
      </w:r>
      <w:r>
        <w:rPr>
          <w:rFonts w:eastAsia="仿宋_GB2312"/>
          <w:sz w:val="32"/>
          <w:szCs w:val="32"/>
        </w:rPr>
        <w:t>价格分最终结果为经评审得出的合理性分值与经济可行性分值之和。</w:t>
      </w:r>
    </w:p>
    <w:p>
      <w:pPr>
        <w:spacing w:line="62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四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eastAsia="仿宋_GB2312"/>
          <w:sz w:val="32"/>
          <w:szCs w:val="32"/>
        </w:rPr>
        <w:t>当多家单位最后得分相同时，按技术分值由高到低排序；技术分值仍相同时，按技术创新性平均分值由高到低排序</w:t>
      </w:r>
      <w:r>
        <w:rPr>
          <w:rFonts w:hint="eastAsia" w:eastAsia="仿宋_GB2312"/>
          <w:sz w:val="32"/>
          <w:szCs w:val="32"/>
        </w:rPr>
        <w:t>；其他特殊情况由评审组现场研究决定。</w:t>
      </w:r>
    </w:p>
    <w:p>
      <w:pPr>
        <w:spacing w:line="620" w:lineRule="exact"/>
        <w:ind w:firstLine="643" w:firstLineChars="20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五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eastAsia="仿宋_GB2312"/>
          <w:sz w:val="32"/>
          <w:szCs w:val="32"/>
        </w:rPr>
        <w:t>依据总分排序，确定最终入选单位，经费分配以提交会议评审的报价为准，原则上不再安排审价。如出现拟支持多个单位的某一指南条目中，通过评审的非第一名单位报价比第一名报价高的情况，则将该单位经费调整至与第一名保持一致</w:t>
      </w:r>
      <w:r>
        <w:rPr>
          <w:rFonts w:hint="eastAsia" w:eastAsia="仿宋_GB2312"/>
          <w:sz w:val="32"/>
          <w:szCs w:val="32"/>
        </w:rPr>
        <w:t>，不接受此项价格调整的，按申报单位排名顺序递补。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</w:rPr>
        <w:t>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六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会议评审中如某一指南条目申报单位数不超过拟支持单位数量的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会审专家只进行</w:t>
      </w:r>
      <w:r>
        <w:rPr>
          <w:rFonts w:eastAsia="仿宋_GB2312"/>
          <w:sz w:val="32"/>
          <w:szCs w:val="32"/>
        </w:rPr>
        <w:t>技术评审</w:t>
      </w:r>
      <w:r>
        <w:rPr>
          <w:rFonts w:hint="eastAsia" w:eastAsia="仿宋_GB2312"/>
          <w:sz w:val="32"/>
          <w:szCs w:val="32"/>
        </w:rPr>
        <w:t>，如技术评审得分均在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分（不含）以下，则该指南条目此次作废，后续另作处理；</w:t>
      </w:r>
      <w:r>
        <w:rPr>
          <w:rFonts w:hint="eastAsia" w:ascii="仿宋_GB2312" w:eastAsia="仿宋_GB2312"/>
          <w:sz w:val="32"/>
          <w:szCs w:val="32"/>
        </w:rPr>
        <w:t>在开展技术评审的同时，单独组织经费概算评审，</w:t>
      </w:r>
      <w:r>
        <w:rPr>
          <w:rFonts w:eastAsia="仿宋_GB2312"/>
          <w:sz w:val="32"/>
          <w:szCs w:val="32"/>
        </w:rPr>
        <w:t>如出现拟支持多个单位的某一指南条目中</w:t>
      </w:r>
      <w:r>
        <w:rPr>
          <w:rFonts w:hint="eastAsia" w:eastAsia="仿宋_GB2312"/>
          <w:sz w:val="32"/>
          <w:szCs w:val="32"/>
        </w:rPr>
        <w:t>，按照技术分数进行排名后</w:t>
      </w:r>
      <w:r>
        <w:rPr>
          <w:rFonts w:eastAsia="仿宋_GB2312"/>
          <w:sz w:val="32"/>
          <w:szCs w:val="32"/>
        </w:rPr>
        <w:t>，通过评审的非第一名单位</w:t>
      </w:r>
      <w:r>
        <w:rPr>
          <w:rFonts w:hint="eastAsia" w:eastAsia="仿宋_GB2312"/>
          <w:sz w:val="32"/>
          <w:szCs w:val="32"/>
          <w:lang w:val="en-US" w:eastAsia="zh-CN"/>
        </w:rPr>
        <w:t>报价</w:t>
      </w:r>
      <w:r>
        <w:rPr>
          <w:rFonts w:eastAsia="仿宋_GB2312"/>
          <w:sz w:val="32"/>
          <w:szCs w:val="32"/>
        </w:rPr>
        <w:t>比第一名</w:t>
      </w:r>
      <w:r>
        <w:rPr>
          <w:rFonts w:hint="eastAsia" w:eastAsia="仿宋_GB2312"/>
          <w:sz w:val="32"/>
          <w:szCs w:val="32"/>
          <w:lang w:val="en-US" w:eastAsia="zh-CN"/>
        </w:rPr>
        <w:t>报价</w:t>
      </w:r>
      <w:r>
        <w:rPr>
          <w:rFonts w:eastAsia="仿宋_GB2312"/>
          <w:sz w:val="32"/>
          <w:szCs w:val="32"/>
        </w:rPr>
        <w:t>高的情况，则将该单位经费调整至与第一名保持一致</w:t>
      </w:r>
      <w:r>
        <w:rPr>
          <w:rFonts w:hint="eastAsia" w:eastAsia="仿宋_GB2312"/>
          <w:sz w:val="32"/>
          <w:szCs w:val="32"/>
        </w:rPr>
        <w:t>，不接受此项价格调整的，按申报单位排名顺序递补。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第二十</w:t>
      </w:r>
      <w:r>
        <w:rPr>
          <w:rFonts w:hint="eastAsia" w:eastAsia="仿宋_GB2312"/>
          <w:b/>
          <w:sz w:val="32"/>
          <w:szCs w:val="32"/>
          <w:lang w:val="en-US" w:eastAsia="zh-CN"/>
        </w:rPr>
        <w:t>七</w:t>
      </w:r>
      <w:r>
        <w:rPr>
          <w:rFonts w:eastAsia="仿宋_GB2312"/>
          <w:b/>
          <w:sz w:val="32"/>
          <w:szCs w:val="32"/>
        </w:rPr>
        <w:t xml:space="preserve">条  </w:t>
      </w:r>
      <w:r>
        <w:rPr>
          <w:rFonts w:hint="eastAsia" w:eastAsia="仿宋_GB2312"/>
          <w:sz w:val="32"/>
          <w:szCs w:val="32"/>
        </w:rPr>
        <w:t>如果实质响应指南条目的单位只有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家，经过技术评审达到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分以上可作为承研单位，另行组织价格审查。如技术评审得分在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60分</w:t>
      </w:r>
      <w:r>
        <w:rPr>
          <w:rFonts w:hint="eastAsia" w:eastAsia="仿宋_GB2312"/>
          <w:sz w:val="32"/>
          <w:szCs w:val="32"/>
        </w:rPr>
        <w:t>（不含）以下，则该指南条目此次作废，后续另作处理。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第六章  附则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val="en-US" w:eastAsia="zh-CN"/>
        </w:rPr>
        <w:t>二</w:t>
      </w:r>
      <w:r>
        <w:rPr>
          <w:rFonts w:eastAsia="仿宋_GB2312"/>
          <w:b/>
          <w:sz w:val="32"/>
          <w:szCs w:val="32"/>
        </w:rPr>
        <w:t>十</w:t>
      </w:r>
      <w:r>
        <w:rPr>
          <w:rFonts w:hint="eastAsia" w:eastAsia="仿宋_GB2312"/>
          <w:b/>
          <w:sz w:val="32"/>
          <w:szCs w:val="32"/>
          <w:lang w:val="en-US" w:eastAsia="zh-CN"/>
        </w:rPr>
        <w:t>八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会议评审后，有关入围候选单位信息按指南发布渠道予以公示，公示期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天。公示期内，</w:t>
      </w:r>
      <w:r>
        <w:rPr>
          <w:rFonts w:hint="default" w:eastAsia="仿宋_GB2312"/>
          <w:sz w:val="32"/>
          <w:szCs w:val="32"/>
        </w:rPr>
        <w:t>采购人</w:t>
      </w:r>
      <w:r>
        <w:rPr>
          <w:rFonts w:eastAsia="仿宋_GB2312"/>
          <w:sz w:val="32"/>
          <w:szCs w:val="32"/>
        </w:rPr>
        <w:t>仅受理书面实名举报。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val="en-US" w:eastAsia="zh-CN"/>
        </w:rPr>
        <w:t>二</w:t>
      </w:r>
      <w:r>
        <w:rPr>
          <w:rFonts w:eastAsia="仿宋_GB2312"/>
          <w:b/>
          <w:sz w:val="32"/>
          <w:szCs w:val="32"/>
        </w:rPr>
        <w:t>十</w:t>
      </w:r>
      <w:r>
        <w:rPr>
          <w:rFonts w:hint="eastAsia" w:eastAsia="仿宋_GB2312"/>
          <w:b/>
          <w:sz w:val="32"/>
          <w:szCs w:val="32"/>
          <w:lang w:val="en-US" w:eastAsia="zh-CN"/>
        </w:rPr>
        <w:t>九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 评审全过程相关材料全部归档备查。评审结果若出现争议，由</w:t>
      </w:r>
      <w:r>
        <w:rPr>
          <w:rFonts w:hint="default" w:eastAsia="仿宋_GB2312"/>
          <w:sz w:val="32"/>
          <w:szCs w:val="32"/>
        </w:rPr>
        <w:t>采购人</w:t>
      </w:r>
      <w:r>
        <w:rPr>
          <w:rFonts w:eastAsia="仿宋_GB2312"/>
          <w:sz w:val="32"/>
          <w:szCs w:val="32"/>
        </w:rPr>
        <w:t>协调处理。</w:t>
      </w:r>
    </w:p>
    <w:p>
      <w:pPr>
        <w:pStyle w:val="14"/>
        <w:snapToGrid w:val="0"/>
        <w:spacing w:line="580" w:lineRule="exact"/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第三十条</w:t>
      </w:r>
      <w:r>
        <w:rPr>
          <w:rFonts w:eastAsia="仿宋_GB2312"/>
          <w:sz w:val="32"/>
          <w:szCs w:val="32"/>
        </w:rPr>
        <w:t xml:space="preserve">  本工作规范由</w:t>
      </w:r>
      <w:r>
        <w:rPr>
          <w:rFonts w:hint="default" w:eastAsia="仿宋_GB2312"/>
          <w:sz w:val="32"/>
          <w:szCs w:val="32"/>
        </w:rPr>
        <w:t>采购人</w:t>
      </w:r>
      <w:r>
        <w:rPr>
          <w:rFonts w:eastAsia="仿宋_GB2312"/>
          <w:sz w:val="32"/>
          <w:szCs w:val="32"/>
        </w:rPr>
        <w:t>负责解释。</w:t>
      </w:r>
    </w:p>
    <w:p>
      <w:pPr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984" w:right="1417" w:bottom="1587" w:left="1587" w:header="851" w:footer="124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lang w:val="zh-CN" w:eastAsia="zh-CN"/>
      </w:rPr>
      <w:t>22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BA15C"/>
    <w:multiLevelType w:val="multilevel"/>
    <w:tmpl w:val="9D0BA15C"/>
    <w:lvl w:ilvl="0" w:tentative="0">
      <w:start w:val="1"/>
      <w:numFmt w:val="decimal"/>
      <w:lvlText w:val="%1"/>
      <w:lvlJc w:val="left"/>
      <w:pPr>
        <w:tabs>
          <w:tab w:val="left" w:pos="729"/>
        </w:tabs>
        <w:ind w:left="454" w:hanging="454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D25BBB3"/>
    <w:multiLevelType w:val="multilevel"/>
    <w:tmpl w:val="5D25BBB3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2.%2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none"/>
      <w:lvlRestart w:val="0"/>
      <w:lvlText w:val="2.5.1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2.4.2.%4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5D2EA008"/>
    <w:multiLevelType w:val="multilevel"/>
    <w:tmpl w:val="5D2EA008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32"/>
        <w:szCs w:val="32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  <w:szCs w:val="32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720" w:firstLine="0"/>
      </w:pPr>
      <w:rPr>
        <w:rFonts w:hint="eastAsia" w:ascii="仿宋_GB2312" w:hAnsi="宋体" w:eastAsia="仿宋_GB2312"/>
        <w:b w:val="0"/>
        <w:i w:val="0"/>
        <w:sz w:val="32"/>
        <w:szCs w:val="32"/>
      </w:rPr>
    </w:lvl>
    <w:lvl w:ilvl="3" w:tentative="0">
      <w:start w:val="1"/>
      <w:numFmt w:val="decimal"/>
      <w:suff w:val="nothing"/>
      <w:lvlText w:val="%1.%2.%3.%4　"/>
      <w:lvlJc w:val="left"/>
      <w:pPr>
        <w:ind w:left="2160" w:firstLine="0"/>
      </w:pPr>
      <w:rPr>
        <w:rFonts w:hint="eastAsia" w:ascii="仿宋_GB2312" w:eastAsia="仿宋_GB2312"/>
        <w:b w:val="0"/>
        <w:i w:val="0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720" w:firstLine="0"/>
      </w:pPr>
      <w:rPr>
        <w:rFonts w:hint="eastAsia" w:ascii="仿宋_GB2312" w:hAnsi="宋体" w:eastAsia="仿宋_GB2312"/>
        <w:sz w:val="32"/>
        <w:szCs w:val="32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D346F"/>
    <w:rsid w:val="0149336E"/>
    <w:rsid w:val="05105223"/>
    <w:rsid w:val="085934A0"/>
    <w:rsid w:val="0960383D"/>
    <w:rsid w:val="0A626ABF"/>
    <w:rsid w:val="0B204273"/>
    <w:rsid w:val="0B3145C0"/>
    <w:rsid w:val="0C346D33"/>
    <w:rsid w:val="0C856087"/>
    <w:rsid w:val="0FA834EF"/>
    <w:rsid w:val="11674574"/>
    <w:rsid w:val="14007D54"/>
    <w:rsid w:val="18C2178D"/>
    <w:rsid w:val="1A022FE5"/>
    <w:rsid w:val="1C9C295C"/>
    <w:rsid w:val="21AC28F0"/>
    <w:rsid w:val="223612D6"/>
    <w:rsid w:val="228D7CB3"/>
    <w:rsid w:val="22985472"/>
    <w:rsid w:val="26101ED0"/>
    <w:rsid w:val="27C73206"/>
    <w:rsid w:val="28895F62"/>
    <w:rsid w:val="302D00FE"/>
    <w:rsid w:val="3350567C"/>
    <w:rsid w:val="33D804A3"/>
    <w:rsid w:val="367E415B"/>
    <w:rsid w:val="38581030"/>
    <w:rsid w:val="38757C19"/>
    <w:rsid w:val="3C014998"/>
    <w:rsid w:val="3D93284C"/>
    <w:rsid w:val="41021076"/>
    <w:rsid w:val="436A7A79"/>
    <w:rsid w:val="43AB134F"/>
    <w:rsid w:val="46AD5420"/>
    <w:rsid w:val="47841CE1"/>
    <w:rsid w:val="47BB2019"/>
    <w:rsid w:val="4B226003"/>
    <w:rsid w:val="4D336FEB"/>
    <w:rsid w:val="50E87E4B"/>
    <w:rsid w:val="52B1715B"/>
    <w:rsid w:val="5389290C"/>
    <w:rsid w:val="53B00E4A"/>
    <w:rsid w:val="54946450"/>
    <w:rsid w:val="556E6A66"/>
    <w:rsid w:val="55A62191"/>
    <w:rsid w:val="55CD346F"/>
    <w:rsid w:val="58717151"/>
    <w:rsid w:val="5A736488"/>
    <w:rsid w:val="5B00000B"/>
    <w:rsid w:val="62073B51"/>
    <w:rsid w:val="63C543A9"/>
    <w:rsid w:val="6AAA404B"/>
    <w:rsid w:val="72E44711"/>
    <w:rsid w:val="72F82A10"/>
    <w:rsid w:val="733F2FA9"/>
    <w:rsid w:val="73545DB0"/>
    <w:rsid w:val="73DD75F8"/>
    <w:rsid w:val="790E7597"/>
    <w:rsid w:val="7A805E78"/>
    <w:rsid w:val="7AD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100" w:line="360" w:lineRule="auto"/>
      <w:ind w:firstLine="0" w:firstLineChars="0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adjustRightInd w:val="0"/>
      <w:snapToGrid w:val="0"/>
      <w:spacing w:before="200" w:line="300" w:lineRule="auto"/>
      <w:outlineLvl w:val="1"/>
    </w:pPr>
    <w:rPr>
      <w:rFonts w:ascii="Cambria" w:hAnsi="Cambria" w:eastAsia="黑体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widowControl/>
      <w:numPr>
        <w:ilvl w:val="2"/>
        <w:numId w:val="1"/>
      </w:numPr>
      <w:adjustRightInd w:val="0"/>
      <w:snapToGrid w:val="0"/>
      <w:spacing w:line="360" w:lineRule="auto"/>
      <w:ind w:left="0" w:firstLine="640" w:firstLineChars="200"/>
      <w:outlineLvl w:val="2"/>
    </w:pPr>
    <w:rPr>
      <w:rFonts w:ascii="Times New Roman" w:hAnsi="Times New Roman" w:eastAsia="楷体"/>
      <w:kern w:val="0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line="324" w:lineRule="auto"/>
      <w:ind w:left="0" w:firstLine="560" w:firstLineChars="200"/>
      <w:outlineLvl w:val="3"/>
    </w:pPr>
    <w:rPr>
      <w:rFonts w:ascii="Arial" w:hAnsi="Arial" w:eastAsia="仿宋" w:cs="Calibri"/>
      <w:b/>
      <w:bCs/>
      <w:sz w:val="28"/>
      <w:szCs w:val="28"/>
    </w:rPr>
  </w:style>
  <w:style w:type="paragraph" w:styleId="6">
    <w:name w:val="heading 5"/>
    <w:basedOn w:val="1"/>
    <w:next w:val="7"/>
    <w:unhideWhenUsed/>
    <w:qFormat/>
    <w:uiPriority w:val="0"/>
    <w:pPr>
      <w:keepNext/>
      <w:keepLines/>
      <w:numPr>
        <w:ilvl w:val="4"/>
        <w:numId w:val="3"/>
      </w:numPr>
      <w:spacing w:line="240" w:lineRule="auto"/>
      <w:ind w:left="0" w:firstLine="0" w:firstLineChars="0"/>
      <w:outlineLvl w:val="4"/>
    </w:pPr>
    <w:rPr>
      <w:rFonts w:eastAsia="宋体"/>
      <w:b/>
      <w:sz w:val="21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line="240" w:lineRule="auto"/>
      <w:ind w:left="1584" w:hanging="1584" w:firstLineChars="0"/>
      <w:outlineLvl w:val="8"/>
    </w:pPr>
    <w:rPr>
      <w:rFonts w:ascii="Arial" w:hAnsi="Arial" w:eastAsia="仿宋"/>
      <w:sz w:val="28"/>
      <w:szCs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 w:cs="Times New Roman"/>
      <w:sz w:val="2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21"/>
      <w:szCs w:val="21"/>
    </w:rPr>
  </w:style>
  <w:style w:type="paragraph" w:styleId="14">
    <w:name w:val="Body Text 2"/>
    <w:basedOn w:val="1"/>
    <w:qFormat/>
    <w:uiPriority w:val="0"/>
    <w:rPr>
      <w:sz w:val="30"/>
      <w:szCs w:val="20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Cs/>
      <w:sz w:val="32"/>
      <w:szCs w:val="32"/>
    </w:rPr>
  </w:style>
  <w:style w:type="paragraph" w:customStyle="1" w:styleId="18">
    <w:name w:val="_Style 14"/>
    <w:basedOn w:val="1"/>
    <w:qFormat/>
    <w:uiPriority w:val="34"/>
    <w:pPr>
      <w:adjustRightInd w:val="0"/>
      <w:snapToGrid w:val="0"/>
      <w:spacing w:before="50" w:beforeLines="50" w:line="300" w:lineRule="auto"/>
      <w:ind w:firstLine="0"/>
    </w:pPr>
    <w:rPr>
      <w:rFonts w:eastAsia="宋体"/>
      <w:sz w:val="28"/>
      <w:szCs w:val="22"/>
    </w:rPr>
  </w:style>
  <w:style w:type="paragraph" w:customStyle="1" w:styleId="19">
    <w:name w:val="_Style 15"/>
    <w:basedOn w:val="1"/>
    <w:qFormat/>
    <w:uiPriority w:val="34"/>
    <w:pPr>
      <w:adjustRightInd w:val="0"/>
      <w:snapToGrid w:val="0"/>
      <w:spacing w:before="50" w:beforeLines="50" w:line="360" w:lineRule="auto"/>
      <w:ind w:firstLine="0"/>
    </w:pPr>
  </w:style>
  <w:style w:type="character" w:customStyle="1" w:styleId="20">
    <w:name w:val="标题 1 Char"/>
    <w:basedOn w:val="16"/>
    <w:link w:val="2"/>
    <w:qFormat/>
    <w:uiPriority w:val="9"/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character" w:customStyle="1" w:styleId="21">
    <w:name w:val="标题 3 Char"/>
    <w:link w:val="4"/>
    <w:qFormat/>
    <w:uiPriority w:val="0"/>
    <w:rPr>
      <w:rFonts w:ascii="宋体" w:hAnsi="宋体" w:eastAsia="仿宋" w:cs="Times New Roman"/>
      <w:b/>
      <w:sz w:val="32"/>
    </w:rPr>
  </w:style>
  <w:style w:type="character" w:customStyle="1" w:styleId="22">
    <w:name w:val="页脚 Char"/>
    <w:link w:val="12"/>
    <w:qFormat/>
    <w:uiPriority w:val="99"/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2020-01-20T13:50:00Z</dcterms:created>
  <dc:creator>RHZY</dc:creator>
  <cp:lastModifiedBy>RHZY</cp:lastModifiedBy>
  <dcterms:modified xsi:type="dcterms:W3CDTF">2020-03-14T09:55:47Z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